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17A7" w14:textId="40D87622" w:rsidR="00A01EA6" w:rsidRDefault="00A01EA6" w:rsidP="00A01EA6">
      <w:pPr>
        <w:jc w:val="center"/>
        <w:rPr>
          <w:b/>
          <w:sz w:val="22"/>
          <w:szCs w:val="22"/>
        </w:rPr>
      </w:pPr>
      <w:r w:rsidRPr="00AB1F94">
        <w:rPr>
          <w:b/>
          <w:sz w:val="22"/>
          <w:szCs w:val="22"/>
        </w:rPr>
        <w:t xml:space="preserve">Reporting according </w:t>
      </w:r>
      <w:r w:rsidR="00964086" w:rsidRPr="00AB1F94">
        <w:rPr>
          <w:b/>
          <w:sz w:val="22"/>
          <w:szCs w:val="22"/>
        </w:rPr>
        <w:t>point 28 of the Communication from the Commission to the Member States on the application</w:t>
      </w:r>
      <w:r w:rsidR="00964086" w:rsidRPr="003E084F">
        <w:rPr>
          <w:b/>
          <w:sz w:val="22"/>
          <w:szCs w:val="22"/>
        </w:rPr>
        <w:t xml:space="preserve"> of</w:t>
      </w:r>
      <w:r w:rsidRPr="003E084F">
        <w:rPr>
          <w:b/>
          <w:sz w:val="22"/>
          <w:szCs w:val="22"/>
        </w:rPr>
        <w:t xml:space="preserve"> Articles 107 and 108 of the Treaty on the Functioning of the European Union to Short-Term Export-Credit Insurance</w:t>
      </w:r>
      <w:r w:rsidR="00964086" w:rsidRPr="003E084F">
        <w:rPr>
          <w:b/>
          <w:sz w:val="22"/>
          <w:szCs w:val="22"/>
        </w:rPr>
        <w:t xml:space="preserve"> (2012/C 392/01)</w:t>
      </w:r>
    </w:p>
    <w:p w14:paraId="4B38DAFB" w14:textId="5F35A6D9" w:rsidR="00640BF9" w:rsidRDefault="00640BF9" w:rsidP="00A01EA6">
      <w:pPr>
        <w:jc w:val="center"/>
        <w:rPr>
          <w:b/>
          <w:sz w:val="22"/>
          <w:szCs w:val="22"/>
        </w:rPr>
      </w:pPr>
    </w:p>
    <w:p w14:paraId="284EC09B" w14:textId="2E3DFE95" w:rsidR="00640BF9" w:rsidRPr="003E084F" w:rsidRDefault="00640BF9" w:rsidP="00A01EA6">
      <w:pPr>
        <w:jc w:val="center"/>
        <w:rPr>
          <w:b/>
          <w:sz w:val="22"/>
          <w:szCs w:val="22"/>
        </w:rPr>
      </w:pPr>
      <w:r>
        <w:rPr>
          <w:b/>
          <w:sz w:val="22"/>
          <w:szCs w:val="22"/>
        </w:rPr>
        <w:t>Report for 2</w:t>
      </w:r>
      <w:r w:rsidR="00DC2815">
        <w:rPr>
          <w:b/>
          <w:sz w:val="22"/>
          <w:szCs w:val="22"/>
        </w:rPr>
        <w:t>02</w:t>
      </w:r>
      <w:r w:rsidR="002C7E95">
        <w:rPr>
          <w:b/>
          <w:sz w:val="22"/>
          <w:szCs w:val="22"/>
        </w:rPr>
        <w:t>2</w:t>
      </w:r>
      <w:r>
        <w:rPr>
          <w:b/>
          <w:sz w:val="22"/>
          <w:szCs w:val="22"/>
        </w:rPr>
        <w:t xml:space="preserve"> (reporting date: </w:t>
      </w:r>
      <w:r w:rsidR="00DA5FAC" w:rsidRPr="00DA5FAC">
        <w:rPr>
          <w:b/>
          <w:sz w:val="22"/>
          <w:szCs w:val="22"/>
        </w:rPr>
        <w:t>6.7</w:t>
      </w:r>
      <w:r w:rsidR="0041790B" w:rsidRPr="00DA5FAC">
        <w:rPr>
          <w:b/>
          <w:sz w:val="22"/>
          <w:szCs w:val="22"/>
        </w:rPr>
        <w:t>.</w:t>
      </w:r>
      <w:r>
        <w:rPr>
          <w:b/>
          <w:sz w:val="22"/>
          <w:szCs w:val="22"/>
        </w:rPr>
        <w:t>202</w:t>
      </w:r>
      <w:r w:rsidR="002C7E95">
        <w:rPr>
          <w:b/>
          <w:sz w:val="22"/>
          <w:szCs w:val="22"/>
        </w:rPr>
        <w:t>3</w:t>
      </w:r>
      <w:r>
        <w:rPr>
          <w:b/>
          <w:sz w:val="22"/>
          <w:szCs w:val="22"/>
        </w:rPr>
        <w:t>)</w:t>
      </w:r>
    </w:p>
    <w:p w14:paraId="7D9059B3" w14:textId="77777777" w:rsidR="00A01EA6" w:rsidRPr="003E084F" w:rsidRDefault="00A01EA6" w:rsidP="00A01EA6">
      <w:pPr>
        <w:rPr>
          <w:b/>
          <w:sz w:val="22"/>
          <w:szCs w:val="22"/>
        </w:rPr>
      </w:pPr>
    </w:p>
    <w:p w14:paraId="25CE27EF" w14:textId="77777777" w:rsidR="00A01EA6" w:rsidRPr="003E084F" w:rsidRDefault="00253A2D" w:rsidP="00A01EA6">
      <w:pPr>
        <w:rPr>
          <w:b/>
          <w:sz w:val="22"/>
          <w:szCs w:val="22"/>
          <w:u w:val="single"/>
        </w:rPr>
      </w:pPr>
      <w:r w:rsidRPr="003E084F">
        <w:rPr>
          <w:b/>
          <w:sz w:val="22"/>
          <w:szCs w:val="22"/>
          <w:u w:val="single"/>
        </w:rPr>
        <w:t>1.</w:t>
      </w:r>
      <w:r w:rsidR="00A01EA6" w:rsidRPr="003E084F">
        <w:rPr>
          <w:b/>
          <w:sz w:val="22"/>
          <w:szCs w:val="22"/>
          <w:u w:val="single"/>
        </w:rPr>
        <w:t>Regulation</w:t>
      </w:r>
    </w:p>
    <w:p w14:paraId="70DEB1B2" w14:textId="77777777" w:rsidR="00A01EA6" w:rsidRPr="003E084F" w:rsidRDefault="00A01EA6" w:rsidP="00A01EA6">
      <w:pPr>
        <w:rPr>
          <w:b/>
          <w:sz w:val="22"/>
          <w:szCs w:val="22"/>
          <w:highlight w:val="yellow"/>
          <w:u w:val="single"/>
        </w:rPr>
      </w:pPr>
    </w:p>
    <w:p w14:paraId="2A53EA82" w14:textId="6B7D035B" w:rsidR="00A01EA6" w:rsidRPr="003E084F" w:rsidRDefault="00A01EA6" w:rsidP="00A01EA6">
      <w:pPr>
        <w:pStyle w:val="ListParagraph"/>
        <w:numPr>
          <w:ilvl w:val="0"/>
          <w:numId w:val="1"/>
        </w:numPr>
        <w:rPr>
          <w:b/>
          <w:sz w:val="22"/>
          <w:szCs w:val="22"/>
        </w:rPr>
      </w:pPr>
      <w:r w:rsidRPr="003E084F">
        <w:rPr>
          <w:b/>
          <w:sz w:val="22"/>
          <w:szCs w:val="22"/>
        </w:rPr>
        <w:t>Act on the Croatian Bank for Reconstruction and Development (</w:t>
      </w:r>
      <w:r w:rsidR="00640BF9">
        <w:rPr>
          <w:b/>
          <w:sz w:val="22"/>
          <w:szCs w:val="22"/>
        </w:rPr>
        <w:t>OG</w:t>
      </w:r>
      <w:r w:rsidRPr="003E084F">
        <w:rPr>
          <w:b/>
          <w:sz w:val="22"/>
          <w:szCs w:val="22"/>
        </w:rPr>
        <w:t xml:space="preserve"> 138/06, </w:t>
      </w:r>
      <w:r w:rsidR="00640BF9">
        <w:rPr>
          <w:b/>
          <w:sz w:val="22"/>
          <w:szCs w:val="22"/>
        </w:rPr>
        <w:t>OG</w:t>
      </w:r>
      <w:r w:rsidRPr="003E084F">
        <w:rPr>
          <w:b/>
          <w:sz w:val="22"/>
          <w:szCs w:val="22"/>
        </w:rPr>
        <w:t xml:space="preserve"> 25/13)</w:t>
      </w:r>
    </w:p>
    <w:p w14:paraId="705845FB" w14:textId="210EDA0B" w:rsidR="00A01EA6" w:rsidRPr="00684447" w:rsidRDefault="00A01EA6" w:rsidP="00A01EA6">
      <w:pPr>
        <w:pStyle w:val="ListParagraph"/>
        <w:numPr>
          <w:ilvl w:val="0"/>
          <w:numId w:val="1"/>
        </w:numPr>
        <w:rPr>
          <w:b/>
          <w:sz w:val="22"/>
          <w:szCs w:val="22"/>
        </w:rPr>
      </w:pPr>
      <w:r w:rsidRPr="00684447">
        <w:rPr>
          <w:rStyle w:val="hps"/>
          <w:b/>
          <w:sz w:val="22"/>
          <w:szCs w:val="22"/>
        </w:rPr>
        <w:t>Regulation on</w:t>
      </w:r>
      <w:r w:rsidRPr="00684447">
        <w:rPr>
          <w:b/>
          <w:sz w:val="22"/>
          <w:szCs w:val="22"/>
        </w:rPr>
        <w:t xml:space="preserve"> </w:t>
      </w:r>
      <w:r w:rsidRPr="00684447">
        <w:rPr>
          <w:rStyle w:val="hps"/>
          <w:b/>
          <w:sz w:val="22"/>
          <w:szCs w:val="22"/>
        </w:rPr>
        <w:t>Export Credit Insurance</w:t>
      </w:r>
      <w:r w:rsidRPr="00684447">
        <w:rPr>
          <w:b/>
          <w:sz w:val="22"/>
          <w:szCs w:val="22"/>
        </w:rPr>
        <w:t xml:space="preserve"> (</w:t>
      </w:r>
      <w:r w:rsidR="00640BF9">
        <w:rPr>
          <w:b/>
          <w:sz w:val="22"/>
          <w:szCs w:val="22"/>
        </w:rPr>
        <w:t>OG</w:t>
      </w:r>
      <w:r w:rsidR="00DD7734">
        <w:rPr>
          <w:b/>
          <w:sz w:val="22"/>
          <w:szCs w:val="22"/>
        </w:rPr>
        <w:t xml:space="preserve"> 53/20)</w:t>
      </w:r>
    </w:p>
    <w:p w14:paraId="05819656" w14:textId="77777777" w:rsidR="00964086" w:rsidRPr="00684447" w:rsidRDefault="00964086" w:rsidP="001C2442">
      <w:pPr>
        <w:rPr>
          <w:sz w:val="22"/>
          <w:szCs w:val="22"/>
        </w:rPr>
      </w:pPr>
    </w:p>
    <w:p w14:paraId="5771274D" w14:textId="77777777" w:rsidR="00964086" w:rsidRDefault="00964086" w:rsidP="00964086">
      <w:pPr>
        <w:rPr>
          <w:sz w:val="22"/>
          <w:szCs w:val="22"/>
          <w:lang w:eastAsia="hr-HR"/>
        </w:rPr>
      </w:pPr>
      <w:r w:rsidRPr="00684447">
        <w:rPr>
          <w:sz w:val="22"/>
          <w:szCs w:val="22"/>
          <w:lang w:eastAsia="hr-HR"/>
        </w:rPr>
        <w:t>Croatian Bank for Reconstruction and Development (“HBOR”) has carried out export - credit insurance against non-marketable risks on behalf and for account of the Republic of Croatia since 1999 according to the Croatian Bank for Reconstruction and Development Act and Regulation on Export Credit Insurance.</w:t>
      </w:r>
    </w:p>
    <w:p w14:paraId="2AFD8872" w14:textId="77777777" w:rsidR="005207C6" w:rsidRDefault="005207C6" w:rsidP="00964086">
      <w:pPr>
        <w:rPr>
          <w:sz w:val="22"/>
          <w:szCs w:val="22"/>
          <w:lang w:eastAsia="hr-HR"/>
        </w:rPr>
      </w:pPr>
    </w:p>
    <w:p w14:paraId="5B683E3A" w14:textId="77777777" w:rsidR="001051A8" w:rsidRPr="001051A8" w:rsidRDefault="005207C6" w:rsidP="005207C6">
      <w:pPr>
        <w:spacing w:line="276" w:lineRule="auto"/>
        <w:ind w:right="-1"/>
        <w:rPr>
          <w:sz w:val="22"/>
          <w:szCs w:val="22"/>
          <w:lang w:eastAsia="zh-CN"/>
        </w:rPr>
      </w:pPr>
      <w:r w:rsidRPr="001051A8">
        <w:rPr>
          <w:sz w:val="22"/>
          <w:szCs w:val="22"/>
          <w:lang w:eastAsia="zh-CN"/>
        </w:rPr>
        <w:t xml:space="preserve">Due to lack of insurance and reinsurance capacity on the Croatian market, European Commission in December 2018 has extended the </w:t>
      </w:r>
    </w:p>
    <w:p w14:paraId="4928157B" w14:textId="77777777" w:rsidR="005207C6" w:rsidRPr="001051A8" w:rsidRDefault="005207C6" w:rsidP="001051A8">
      <w:pPr>
        <w:pStyle w:val="ListParagraph"/>
        <w:numPr>
          <w:ilvl w:val="0"/>
          <w:numId w:val="9"/>
        </w:numPr>
        <w:spacing w:line="276" w:lineRule="auto"/>
        <w:ind w:right="-1"/>
        <w:rPr>
          <w:b/>
          <w:bCs/>
          <w:sz w:val="22"/>
          <w:szCs w:val="22"/>
          <w:lang w:eastAsia="zh-CN"/>
        </w:rPr>
      </w:pPr>
      <w:r w:rsidRPr="001051A8">
        <w:rPr>
          <w:b/>
          <w:bCs/>
          <w:sz w:val="22"/>
          <w:szCs w:val="22"/>
          <w:lang w:eastAsia="zh-CN"/>
        </w:rPr>
        <w:t xml:space="preserve">“Escape </w:t>
      </w:r>
      <w:proofErr w:type="gramStart"/>
      <w:r w:rsidRPr="001051A8">
        <w:rPr>
          <w:b/>
          <w:bCs/>
          <w:sz w:val="22"/>
          <w:szCs w:val="22"/>
          <w:lang w:eastAsia="zh-CN"/>
        </w:rPr>
        <w:t>clause“</w:t>
      </w:r>
      <w:proofErr w:type="gramEnd"/>
      <w:r w:rsidRPr="001051A8">
        <w:rPr>
          <w:b/>
          <w:bCs/>
          <w:sz w:val="22"/>
          <w:szCs w:val="22"/>
          <w:lang w:eastAsia="zh-CN"/>
        </w:rPr>
        <w:t>, allowing</w:t>
      </w:r>
      <w:r w:rsidR="002528F5">
        <w:rPr>
          <w:b/>
          <w:bCs/>
          <w:sz w:val="22"/>
          <w:szCs w:val="22"/>
          <w:lang w:eastAsia="zh-CN"/>
        </w:rPr>
        <w:t xml:space="preserve"> HBOR</w:t>
      </w:r>
      <w:r w:rsidRPr="001051A8">
        <w:rPr>
          <w:b/>
          <w:bCs/>
          <w:sz w:val="22"/>
          <w:szCs w:val="22"/>
          <w:lang w:eastAsia="zh-CN"/>
        </w:rPr>
        <w:t xml:space="preserve"> a state intervention</w:t>
      </w:r>
      <w:r w:rsidR="002528F5">
        <w:rPr>
          <w:b/>
          <w:bCs/>
          <w:sz w:val="22"/>
          <w:szCs w:val="22"/>
          <w:lang w:eastAsia="zh-CN"/>
        </w:rPr>
        <w:t xml:space="preserve"> (</w:t>
      </w:r>
      <w:r w:rsidR="002528F5" w:rsidRPr="001051A8">
        <w:rPr>
          <w:b/>
          <w:bCs/>
          <w:sz w:val="22"/>
          <w:szCs w:val="22"/>
          <w:lang w:eastAsia="zh-CN"/>
        </w:rPr>
        <w:t>until the end of December 2024</w:t>
      </w:r>
      <w:r w:rsidR="002528F5">
        <w:rPr>
          <w:b/>
          <w:bCs/>
          <w:sz w:val="22"/>
          <w:szCs w:val="22"/>
          <w:lang w:eastAsia="zh-CN"/>
        </w:rPr>
        <w:t>)</w:t>
      </w:r>
      <w:r w:rsidRPr="001051A8">
        <w:rPr>
          <w:b/>
          <w:bCs/>
          <w:sz w:val="22"/>
          <w:szCs w:val="22"/>
          <w:lang w:eastAsia="zh-CN"/>
        </w:rPr>
        <w:t xml:space="preserve"> for export-credit insurance and reinsurance for temporarily non-marketable risks for which there is no capacity on the private market. This </w:t>
      </w:r>
      <w:r w:rsidR="001051A8" w:rsidRPr="001051A8">
        <w:rPr>
          <w:b/>
          <w:bCs/>
          <w:sz w:val="22"/>
          <w:szCs w:val="22"/>
          <w:lang w:eastAsia="zh-CN"/>
        </w:rPr>
        <w:t>is in accordance with</w:t>
      </w:r>
      <w:r w:rsidRPr="001051A8">
        <w:rPr>
          <w:b/>
          <w:bCs/>
          <w:sz w:val="22"/>
          <w:szCs w:val="22"/>
          <w:lang w:eastAsia="zh-CN"/>
        </w:rPr>
        <w:t xml:space="preserve"> </w:t>
      </w:r>
      <w:r w:rsidR="001051A8" w:rsidRPr="001051A8">
        <w:rPr>
          <w:b/>
          <w:bCs/>
          <w:sz w:val="22"/>
          <w:szCs w:val="22"/>
          <w:lang w:eastAsia="zh-CN"/>
        </w:rPr>
        <w:t>“</w:t>
      </w:r>
      <w:r w:rsidRPr="001051A8">
        <w:rPr>
          <w:b/>
          <w:bCs/>
          <w:sz w:val="22"/>
          <w:szCs w:val="22"/>
          <w:lang w:eastAsia="zh-CN"/>
        </w:rPr>
        <w:t>Communication from the Commission to the Member States on the application of Articles 107 and 108 of the Treaty on the Functioning of the European Union to short-term export-credit insurance, 2012/C 392/01</w:t>
      </w:r>
      <w:r w:rsidR="001051A8" w:rsidRPr="001051A8">
        <w:rPr>
          <w:b/>
          <w:bCs/>
          <w:sz w:val="22"/>
          <w:szCs w:val="22"/>
          <w:lang w:eastAsia="zh-CN"/>
        </w:rPr>
        <w:t>“</w:t>
      </w:r>
    </w:p>
    <w:p w14:paraId="21CCE46E" w14:textId="77777777" w:rsidR="005207C6" w:rsidRDefault="005207C6" w:rsidP="005207C6">
      <w:pPr>
        <w:spacing w:line="276" w:lineRule="auto"/>
        <w:ind w:right="-1"/>
        <w:rPr>
          <w:rFonts w:ascii="Arial" w:hAnsi="Arial" w:cs="Arial"/>
          <w:b/>
          <w:bCs/>
          <w:sz w:val="20"/>
          <w:szCs w:val="20"/>
          <w:lang w:eastAsia="zh-CN"/>
        </w:rPr>
      </w:pPr>
    </w:p>
    <w:p w14:paraId="4C641425" w14:textId="77777777" w:rsidR="005207C6" w:rsidRDefault="005207C6" w:rsidP="005207C6">
      <w:pPr>
        <w:rPr>
          <w:sz w:val="22"/>
          <w:szCs w:val="22"/>
          <w:lang w:eastAsia="zh-CN"/>
        </w:rPr>
      </w:pPr>
      <w:r w:rsidRPr="001051A8">
        <w:rPr>
          <w:sz w:val="22"/>
          <w:szCs w:val="22"/>
          <w:lang w:eastAsia="zh-CN"/>
        </w:rPr>
        <w:t xml:space="preserve">With the „Escape clause“ HBOR, as state ECA, is allowed to provide short-term export-credit insurance to exporters established in Croatia who are facing unavailability of cover in the private market for the risks specified in the point 18 (b), (c) and (d) of the Communication, namely coverage for: </w:t>
      </w:r>
    </w:p>
    <w:p w14:paraId="3665B485" w14:textId="77777777" w:rsidR="001051A8" w:rsidRPr="001051A8" w:rsidRDefault="001051A8" w:rsidP="005207C6">
      <w:pPr>
        <w:rPr>
          <w:sz w:val="22"/>
          <w:szCs w:val="22"/>
          <w:lang w:eastAsia="zh-CN"/>
        </w:rPr>
      </w:pPr>
    </w:p>
    <w:p w14:paraId="76CB2D6D" w14:textId="77777777" w:rsidR="005207C6" w:rsidRPr="001051A8" w:rsidRDefault="005207C6" w:rsidP="001051A8">
      <w:pPr>
        <w:pStyle w:val="ListParagraph"/>
        <w:numPr>
          <w:ilvl w:val="0"/>
          <w:numId w:val="7"/>
        </w:numPr>
        <w:rPr>
          <w:b/>
          <w:bCs/>
          <w:sz w:val="22"/>
          <w:szCs w:val="22"/>
          <w:lang w:eastAsia="zh-CN"/>
        </w:rPr>
      </w:pPr>
      <w:r w:rsidRPr="001051A8">
        <w:rPr>
          <w:b/>
          <w:bCs/>
          <w:sz w:val="22"/>
          <w:szCs w:val="22"/>
        </w:rPr>
        <w:t>short-term risks incurred by small and medium-sized enterprises with a total annual export turnover not exceeding EUR 2 million,</w:t>
      </w:r>
    </w:p>
    <w:p w14:paraId="6B9AAA01" w14:textId="77777777" w:rsidR="005207C6" w:rsidRPr="001051A8" w:rsidRDefault="005207C6" w:rsidP="001051A8">
      <w:pPr>
        <w:pStyle w:val="ListParagraph"/>
        <w:numPr>
          <w:ilvl w:val="0"/>
          <w:numId w:val="7"/>
        </w:numPr>
        <w:rPr>
          <w:b/>
          <w:bCs/>
          <w:sz w:val="22"/>
          <w:szCs w:val="22"/>
          <w:lang w:eastAsia="zh-CN"/>
        </w:rPr>
      </w:pPr>
      <w:proofErr w:type="gramStart"/>
      <w:r w:rsidRPr="001051A8">
        <w:rPr>
          <w:b/>
          <w:bCs/>
          <w:sz w:val="22"/>
          <w:szCs w:val="22"/>
        </w:rPr>
        <w:t>single-risks</w:t>
      </w:r>
      <w:proofErr w:type="gramEnd"/>
      <w:r w:rsidRPr="001051A8">
        <w:rPr>
          <w:b/>
          <w:bCs/>
          <w:sz w:val="22"/>
          <w:szCs w:val="22"/>
        </w:rPr>
        <w:t xml:space="preserve"> with a risk period (manufacturing period plus credit period) of at least 181 days and less than two years, and</w:t>
      </w:r>
    </w:p>
    <w:p w14:paraId="2778C880" w14:textId="77777777" w:rsidR="005207C6" w:rsidRPr="001051A8" w:rsidRDefault="005207C6" w:rsidP="001051A8">
      <w:pPr>
        <w:pStyle w:val="ListParagraph"/>
        <w:numPr>
          <w:ilvl w:val="0"/>
          <w:numId w:val="7"/>
        </w:numPr>
        <w:rPr>
          <w:b/>
          <w:bCs/>
          <w:sz w:val="22"/>
          <w:szCs w:val="22"/>
          <w:lang w:eastAsia="zh-CN"/>
        </w:rPr>
      </w:pPr>
      <w:r w:rsidRPr="001051A8">
        <w:rPr>
          <w:b/>
          <w:bCs/>
          <w:sz w:val="22"/>
          <w:szCs w:val="22"/>
        </w:rPr>
        <w:t>temporarily non-marketable risks due to shortage of export-credit insurance.</w:t>
      </w:r>
    </w:p>
    <w:p w14:paraId="5FB08BC6" w14:textId="77777777" w:rsidR="00964086" w:rsidRDefault="00964086" w:rsidP="00A01EA6">
      <w:pPr>
        <w:rPr>
          <w:sz w:val="22"/>
          <w:szCs w:val="22"/>
        </w:rPr>
      </w:pPr>
    </w:p>
    <w:p w14:paraId="12EF0A64" w14:textId="77777777" w:rsidR="009016DE" w:rsidRPr="003E084F" w:rsidRDefault="009016DE" w:rsidP="00A01EA6">
      <w:pPr>
        <w:rPr>
          <w:sz w:val="22"/>
          <w:szCs w:val="22"/>
        </w:rPr>
      </w:pPr>
    </w:p>
    <w:p w14:paraId="776E6189" w14:textId="77777777" w:rsidR="00A01EA6" w:rsidRPr="003E084F" w:rsidRDefault="008D67AB" w:rsidP="00A01EA6">
      <w:pPr>
        <w:rPr>
          <w:i/>
          <w:sz w:val="22"/>
          <w:szCs w:val="22"/>
          <w:u w:val="single"/>
          <w:lang w:eastAsia="zh-CN"/>
        </w:rPr>
      </w:pPr>
      <w:r>
        <w:rPr>
          <w:b/>
          <w:sz w:val="22"/>
          <w:szCs w:val="22"/>
          <w:u w:val="single"/>
          <w:lang w:eastAsia="zh-CN"/>
        </w:rPr>
        <w:t>2</w:t>
      </w:r>
      <w:r w:rsidR="00253A2D" w:rsidRPr="003E084F">
        <w:rPr>
          <w:b/>
          <w:sz w:val="22"/>
          <w:szCs w:val="22"/>
          <w:u w:val="single"/>
          <w:lang w:eastAsia="zh-CN"/>
        </w:rPr>
        <w:t xml:space="preserve">. </w:t>
      </w:r>
      <w:r w:rsidR="00A01EA6" w:rsidRPr="003E084F">
        <w:rPr>
          <w:b/>
          <w:sz w:val="22"/>
          <w:szCs w:val="22"/>
          <w:u w:val="single"/>
          <w:lang w:eastAsia="zh-CN"/>
        </w:rPr>
        <w:t xml:space="preserve">Basic information on </w:t>
      </w:r>
      <w:r w:rsidR="00964086" w:rsidRPr="003E084F">
        <w:rPr>
          <w:b/>
          <w:sz w:val="22"/>
          <w:szCs w:val="22"/>
          <w:u w:val="single"/>
          <w:lang w:eastAsia="zh-CN"/>
        </w:rPr>
        <w:t xml:space="preserve">Programs </w:t>
      </w:r>
    </w:p>
    <w:p w14:paraId="60A0C259" w14:textId="77777777" w:rsidR="00964086" w:rsidRPr="003E084F" w:rsidRDefault="00964086" w:rsidP="00A01EA6">
      <w:pPr>
        <w:rPr>
          <w:i/>
          <w:sz w:val="22"/>
          <w:szCs w:val="22"/>
          <w:u w:val="single"/>
          <w:lang w:eastAsia="zh-CN"/>
        </w:rPr>
      </w:pPr>
    </w:p>
    <w:p w14:paraId="124CBAA9" w14:textId="77777777" w:rsidR="00A01EA6" w:rsidRPr="003E084F" w:rsidRDefault="008D67AB" w:rsidP="00A01EA6">
      <w:pPr>
        <w:rPr>
          <w:b/>
          <w:sz w:val="22"/>
          <w:szCs w:val="22"/>
          <w:lang w:eastAsia="zh-CN"/>
        </w:rPr>
      </w:pPr>
      <w:r>
        <w:rPr>
          <w:b/>
          <w:sz w:val="22"/>
          <w:szCs w:val="22"/>
          <w:lang w:eastAsia="zh-CN"/>
        </w:rPr>
        <w:t>2</w:t>
      </w:r>
      <w:r w:rsidR="00253A2D" w:rsidRPr="003E084F">
        <w:rPr>
          <w:b/>
          <w:sz w:val="22"/>
          <w:szCs w:val="22"/>
          <w:lang w:eastAsia="zh-CN"/>
        </w:rPr>
        <w:t>.</w:t>
      </w:r>
      <w:r w:rsidR="00A01EA6" w:rsidRPr="003E084F">
        <w:rPr>
          <w:b/>
          <w:sz w:val="22"/>
          <w:szCs w:val="22"/>
          <w:lang w:eastAsia="zh-CN"/>
        </w:rPr>
        <w:t>1. The insurance of short-term export receivables</w:t>
      </w:r>
      <w:r w:rsidR="00C1212F" w:rsidRPr="003E084F">
        <w:rPr>
          <w:sz w:val="22"/>
          <w:szCs w:val="22"/>
          <w:lang w:eastAsia="zh-CN"/>
        </w:rPr>
        <w:t xml:space="preserve"> </w:t>
      </w:r>
    </w:p>
    <w:p w14:paraId="24A18F35" w14:textId="77777777" w:rsidR="00C1212F" w:rsidRPr="003E084F" w:rsidRDefault="00A01EA6" w:rsidP="009F4D0A">
      <w:pPr>
        <w:rPr>
          <w:sz w:val="22"/>
          <w:szCs w:val="22"/>
          <w:lang w:eastAsia="zh-CN"/>
        </w:rPr>
      </w:pPr>
      <w:r w:rsidRPr="003E084F">
        <w:rPr>
          <w:sz w:val="22"/>
          <w:szCs w:val="22"/>
          <w:lang w:eastAsia="zh-CN"/>
        </w:rPr>
        <w:t xml:space="preserve">By the Program it is possible to insure export receivables with a risk period of </w:t>
      </w:r>
      <w:r w:rsidR="00CB4F3E">
        <w:rPr>
          <w:sz w:val="22"/>
          <w:szCs w:val="22"/>
          <w:lang w:eastAsia="zh-CN"/>
        </w:rPr>
        <w:t>up to t</w:t>
      </w:r>
      <w:r w:rsidRPr="003E084F">
        <w:rPr>
          <w:sz w:val="22"/>
          <w:szCs w:val="22"/>
          <w:lang w:eastAsia="zh-CN"/>
        </w:rPr>
        <w:t xml:space="preserve">wo years against temporarily non-marketable commercial and political risks. </w:t>
      </w:r>
    </w:p>
    <w:p w14:paraId="64FFA55D" w14:textId="77777777" w:rsidR="00C1212F" w:rsidRPr="003E084F" w:rsidRDefault="00A01EA6" w:rsidP="009F4D0A">
      <w:pPr>
        <w:rPr>
          <w:sz w:val="22"/>
          <w:szCs w:val="22"/>
          <w:lang w:eastAsia="zh-CN"/>
        </w:rPr>
      </w:pPr>
      <w:r w:rsidRPr="003E084F">
        <w:rPr>
          <w:sz w:val="22"/>
          <w:szCs w:val="22"/>
          <w:lang w:eastAsia="zh-CN"/>
        </w:rPr>
        <w:t xml:space="preserve">In each insured risk, HBOR can participate with the maximum share of </w:t>
      </w:r>
      <w:r w:rsidR="00025F4C">
        <w:rPr>
          <w:sz w:val="22"/>
          <w:szCs w:val="22"/>
          <w:lang w:eastAsia="zh-CN"/>
        </w:rPr>
        <w:t>90</w:t>
      </w:r>
      <w:r w:rsidRPr="003E084F">
        <w:rPr>
          <w:sz w:val="22"/>
          <w:szCs w:val="22"/>
          <w:lang w:eastAsia="zh-CN"/>
        </w:rPr>
        <w:t>%, depending on the risk assessment. For risks taken, HBOR shall charge t</w:t>
      </w:r>
      <w:r w:rsidR="00C1212F" w:rsidRPr="003E084F">
        <w:rPr>
          <w:sz w:val="22"/>
          <w:szCs w:val="22"/>
          <w:lang w:eastAsia="zh-CN"/>
        </w:rPr>
        <w:t>he</w:t>
      </w:r>
      <w:r w:rsidRPr="003E084F">
        <w:rPr>
          <w:sz w:val="22"/>
          <w:szCs w:val="22"/>
          <w:lang w:eastAsia="zh-CN"/>
        </w:rPr>
        <w:t xml:space="preserve"> exporters the insurance premium that is usually paid monthly, by applying the premium rate to the amount of exported and invoiced value of goods and services. In case of insurance contracts by which the collection of export receivables is based on an individual export transaction, HBOR shall charge the insurance premium in advance.</w:t>
      </w:r>
      <w:r w:rsidR="009F4D0A" w:rsidRPr="003E084F">
        <w:rPr>
          <w:sz w:val="22"/>
          <w:szCs w:val="22"/>
          <w:lang w:eastAsia="zh-CN"/>
        </w:rPr>
        <w:t xml:space="preserve"> </w:t>
      </w:r>
    </w:p>
    <w:p w14:paraId="3E77DB12" w14:textId="67E3612E" w:rsidR="009F4D0A" w:rsidRDefault="00BE0988" w:rsidP="009F4D0A">
      <w:pPr>
        <w:rPr>
          <w:sz w:val="22"/>
          <w:szCs w:val="22"/>
          <w:lang w:eastAsia="zh-CN"/>
        </w:rPr>
      </w:pPr>
      <w:r w:rsidRPr="00BE0988">
        <w:rPr>
          <w:sz w:val="22"/>
          <w:szCs w:val="22"/>
          <w:lang w:eastAsia="zh-CN"/>
        </w:rPr>
        <w:t>As of January 1, 2021, a new premium model has been introduced that regulates the lowest and highest premium rates for temporary non-market</w:t>
      </w:r>
      <w:r w:rsidR="005E3484">
        <w:rPr>
          <w:sz w:val="22"/>
          <w:szCs w:val="22"/>
          <w:lang w:eastAsia="zh-CN"/>
        </w:rPr>
        <w:t>able</w:t>
      </w:r>
      <w:r w:rsidRPr="00BE0988">
        <w:rPr>
          <w:sz w:val="22"/>
          <w:szCs w:val="22"/>
          <w:lang w:eastAsia="zh-CN"/>
        </w:rPr>
        <w:t xml:space="preserve"> risks</w:t>
      </w:r>
      <w:r>
        <w:rPr>
          <w:sz w:val="22"/>
          <w:szCs w:val="22"/>
          <w:lang w:eastAsia="zh-CN"/>
        </w:rPr>
        <w:t xml:space="preserve">. </w:t>
      </w:r>
      <w:r w:rsidR="00C1212F" w:rsidRPr="003E084F">
        <w:rPr>
          <w:sz w:val="22"/>
          <w:szCs w:val="22"/>
          <w:lang w:eastAsia="zh-CN"/>
        </w:rPr>
        <w:t>HBOR’s m</w:t>
      </w:r>
      <w:r w:rsidR="009F4D0A" w:rsidRPr="003E084F">
        <w:rPr>
          <w:sz w:val="22"/>
          <w:szCs w:val="22"/>
          <w:lang w:eastAsia="zh-CN"/>
        </w:rPr>
        <w:t xml:space="preserve">inimum premium rates are </w:t>
      </w:r>
      <w:r>
        <w:rPr>
          <w:sz w:val="22"/>
          <w:szCs w:val="22"/>
          <w:lang w:eastAsia="zh-CN"/>
        </w:rPr>
        <w:t xml:space="preserve">still </w:t>
      </w:r>
      <w:r w:rsidR="009F4D0A" w:rsidRPr="003E084F">
        <w:rPr>
          <w:sz w:val="22"/>
          <w:szCs w:val="22"/>
          <w:lang w:eastAsia="zh-CN"/>
        </w:rPr>
        <w:t>higher than those prescribed by European Commis</w:t>
      </w:r>
      <w:r w:rsidR="000A5E2C" w:rsidRPr="003E084F">
        <w:rPr>
          <w:sz w:val="22"/>
          <w:szCs w:val="22"/>
          <w:lang w:eastAsia="zh-CN"/>
        </w:rPr>
        <w:t>s</w:t>
      </w:r>
      <w:r w:rsidR="009F4D0A" w:rsidRPr="003E084F">
        <w:rPr>
          <w:sz w:val="22"/>
          <w:szCs w:val="22"/>
          <w:lang w:eastAsia="zh-CN"/>
        </w:rPr>
        <w:t xml:space="preserve">ion in </w:t>
      </w:r>
      <w:r w:rsidR="00C1212F" w:rsidRPr="003E084F">
        <w:rPr>
          <w:sz w:val="22"/>
          <w:szCs w:val="22"/>
          <w:lang w:eastAsia="zh-CN"/>
        </w:rPr>
        <w:t>point</w:t>
      </w:r>
      <w:r w:rsidR="009F4D0A" w:rsidRPr="003E084F">
        <w:rPr>
          <w:sz w:val="22"/>
          <w:szCs w:val="22"/>
          <w:lang w:eastAsia="zh-CN"/>
        </w:rPr>
        <w:t xml:space="preserve"> 23</w:t>
      </w:r>
      <w:r w:rsidR="000A5E2C" w:rsidRPr="003E084F">
        <w:rPr>
          <w:sz w:val="22"/>
          <w:szCs w:val="22"/>
          <w:lang w:eastAsia="zh-CN"/>
        </w:rPr>
        <w:t xml:space="preserve"> of the Communication.</w:t>
      </w:r>
    </w:p>
    <w:p w14:paraId="0AE07F18" w14:textId="2C52C949" w:rsidR="00BE0988" w:rsidRDefault="00BE0988" w:rsidP="009F4D0A">
      <w:pPr>
        <w:rPr>
          <w:sz w:val="22"/>
          <w:szCs w:val="22"/>
          <w:lang w:eastAsia="zh-CN"/>
        </w:rPr>
      </w:pPr>
    </w:p>
    <w:p w14:paraId="7F00C2FE" w14:textId="3553840F" w:rsidR="005E3484" w:rsidRPr="00A83145" w:rsidRDefault="005E3484" w:rsidP="009F4D0A">
      <w:pPr>
        <w:rPr>
          <w:sz w:val="18"/>
          <w:szCs w:val="18"/>
          <w:lang w:eastAsia="zh-CN"/>
        </w:rPr>
      </w:pPr>
      <w:r w:rsidRPr="00A83145">
        <w:rPr>
          <w:sz w:val="18"/>
          <w:szCs w:val="18"/>
          <w:lang w:eastAsia="zh-CN"/>
        </w:rPr>
        <w:t>HBOR’s premium rates for temporary non-marketable risks:</w:t>
      </w:r>
    </w:p>
    <w:tbl>
      <w:tblPr>
        <w:tblStyle w:val="TableGridLight"/>
        <w:tblW w:w="9016" w:type="dxa"/>
        <w:tblInd w:w="0" w:type="dxa"/>
        <w:tblLook w:val="04A0" w:firstRow="1" w:lastRow="0" w:firstColumn="1" w:lastColumn="0" w:noHBand="0" w:noVBand="1"/>
      </w:tblPr>
      <w:tblGrid>
        <w:gridCol w:w="3256"/>
        <w:gridCol w:w="2880"/>
        <w:gridCol w:w="2880"/>
      </w:tblGrid>
      <w:tr w:rsidR="00BE0988" w:rsidRPr="00245CDC" w14:paraId="3E733966" w14:textId="77777777" w:rsidTr="00690DFE">
        <w:trPr>
          <w:trHeight w:val="241"/>
        </w:trPr>
        <w:tc>
          <w:tcPr>
            <w:tcW w:w="325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hideMark/>
          </w:tcPr>
          <w:p w14:paraId="728C168B" w14:textId="544507AE" w:rsidR="00BE0988" w:rsidRPr="00245CDC" w:rsidRDefault="00BE0988" w:rsidP="00690DFE">
            <w:pPr>
              <w:spacing w:line="23" w:lineRule="atLeast"/>
              <w:jc w:val="left"/>
              <w:outlineLvl w:val="0"/>
              <w:rPr>
                <w:rFonts w:cs="Arial"/>
                <w:b/>
                <w:sz w:val="18"/>
                <w:szCs w:val="18"/>
              </w:rPr>
            </w:pPr>
            <w:r>
              <w:rPr>
                <w:rFonts w:cs="Arial"/>
                <w:b/>
                <w:sz w:val="18"/>
                <w:szCs w:val="18"/>
              </w:rPr>
              <w:t>Credit rating of foreign buyer</w:t>
            </w:r>
          </w:p>
        </w:tc>
        <w:tc>
          <w:tcPr>
            <w:tcW w:w="57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9BA0D" w14:textId="551B5556" w:rsidR="00BE0988" w:rsidRPr="00245CDC" w:rsidRDefault="00BE0988" w:rsidP="00690DFE">
            <w:pPr>
              <w:spacing w:line="23" w:lineRule="atLeast"/>
              <w:jc w:val="center"/>
              <w:outlineLvl w:val="0"/>
              <w:rPr>
                <w:rFonts w:cs="Arial"/>
                <w:b/>
                <w:sz w:val="18"/>
                <w:szCs w:val="18"/>
              </w:rPr>
            </w:pPr>
            <w:r>
              <w:rPr>
                <w:rFonts w:cs="Arial"/>
                <w:b/>
                <w:sz w:val="18"/>
                <w:szCs w:val="18"/>
              </w:rPr>
              <w:t>P</w:t>
            </w:r>
            <w:r w:rsidRPr="00245CDC">
              <w:rPr>
                <w:rFonts w:cs="Arial"/>
                <w:b/>
                <w:sz w:val="18"/>
                <w:szCs w:val="18"/>
              </w:rPr>
              <w:t>remi</w:t>
            </w:r>
            <w:r w:rsidR="005E3484">
              <w:rPr>
                <w:rFonts w:cs="Arial"/>
                <w:b/>
                <w:sz w:val="18"/>
                <w:szCs w:val="18"/>
              </w:rPr>
              <w:t>um rate</w:t>
            </w:r>
            <w:r w:rsidRPr="00245CDC">
              <w:rPr>
                <w:rFonts w:cs="Arial"/>
                <w:b/>
                <w:sz w:val="18"/>
                <w:szCs w:val="18"/>
              </w:rPr>
              <w:t xml:space="preserve"> (%</w:t>
            </w:r>
            <w:r>
              <w:rPr>
                <w:rFonts w:cs="Arial"/>
                <w:b/>
                <w:sz w:val="18"/>
                <w:szCs w:val="18"/>
              </w:rPr>
              <w:t>)</w:t>
            </w:r>
          </w:p>
        </w:tc>
      </w:tr>
      <w:tr w:rsidR="00BE0988" w:rsidRPr="00245CDC" w14:paraId="086027AD" w14:textId="77777777" w:rsidTr="00690DFE">
        <w:trPr>
          <w:trHeight w:val="241"/>
        </w:trPr>
        <w:tc>
          <w:tcPr>
            <w:tcW w:w="325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DCC21" w14:textId="77777777" w:rsidR="00BE0988" w:rsidRPr="00245CDC" w:rsidRDefault="00BE0988" w:rsidP="00690DFE">
            <w:pPr>
              <w:spacing w:line="23" w:lineRule="atLeast"/>
              <w:jc w:val="left"/>
              <w:outlineLvl w:val="0"/>
              <w:rPr>
                <w:rFonts w:cs="Arial"/>
                <w:b/>
                <w:sz w:val="18"/>
                <w:szCs w:val="18"/>
              </w:rPr>
            </w:pP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3D092C" w14:textId="577E8CA0" w:rsidR="00BE0988" w:rsidRPr="00245CDC" w:rsidRDefault="00BE0988" w:rsidP="00690DFE">
            <w:pPr>
              <w:spacing w:line="23" w:lineRule="atLeast"/>
              <w:jc w:val="center"/>
              <w:outlineLvl w:val="0"/>
              <w:rPr>
                <w:rFonts w:cs="Arial"/>
                <w:b/>
                <w:sz w:val="18"/>
                <w:szCs w:val="18"/>
              </w:rPr>
            </w:pPr>
            <w:r>
              <w:rPr>
                <w:rFonts w:cs="Arial"/>
                <w:b/>
                <w:sz w:val="18"/>
                <w:szCs w:val="18"/>
              </w:rPr>
              <w:t>Lowest</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95A824" w14:textId="32D355A9" w:rsidR="00BE0988" w:rsidRPr="00245CDC" w:rsidRDefault="00BE0988" w:rsidP="00690DFE">
            <w:pPr>
              <w:spacing w:line="23" w:lineRule="atLeast"/>
              <w:jc w:val="center"/>
              <w:outlineLvl w:val="0"/>
              <w:rPr>
                <w:rFonts w:cs="Arial"/>
                <w:b/>
                <w:sz w:val="18"/>
                <w:szCs w:val="18"/>
              </w:rPr>
            </w:pPr>
            <w:r>
              <w:rPr>
                <w:rFonts w:cs="Arial"/>
                <w:b/>
                <w:sz w:val="18"/>
                <w:szCs w:val="18"/>
              </w:rPr>
              <w:t>Hig</w:t>
            </w:r>
            <w:r w:rsidR="005E3484">
              <w:rPr>
                <w:rFonts w:cs="Arial"/>
                <w:b/>
                <w:sz w:val="18"/>
                <w:szCs w:val="18"/>
              </w:rPr>
              <w:t>hest</w:t>
            </w:r>
          </w:p>
        </w:tc>
      </w:tr>
      <w:tr w:rsidR="00BE0988" w:rsidRPr="00245CDC" w14:paraId="6191DED5" w14:textId="77777777" w:rsidTr="00690DFE">
        <w:trPr>
          <w:trHeight w:val="241"/>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DECCF8" w14:textId="7C52A74B" w:rsidR="00BE0988" w:rsidRPr="00245CDC" w:rsidRDefault="00BE0988" w:rsidP="00690DFE">
            <w:pPr>
              <w:spacing w:line="23" w:lineRule="atLeast"/>
              <w:jc w:val="left"/>
              <w:outlineLvl w:val="0"/>
              <w:rPr>
                <w:rFonts w:cs="Arial"/>
                <w:sz w:val="18"/>
                <w:szCs w:val="18"/>
              </w:rPr>
            </w:pPr>
            <w:r>
              <w:rPr>
                <w:rFonts w:cs="Arial"/>
                <w:sz w:val="18"/>
                <w:szCs w:val="18"/>
              </w:rPr>
              <w:t>Excellent</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6A497B" w14:textId="77777777" w:rsidR="00BE0988" w:rsidRPr="00245CDC" w:rsidRDefault="00BE0988" w:rsidP="00690DFE">
            <w:pPr>
              <w:spacing w:line="23" w:lineRule="atLeast"/>
              <w:jc w:val="center"/>
              <w:outlineLvl w:val="0"/>
              <w:rPr>
                <w:rFonts w:cs="Arial"/>
                <w:sz w:val="18"/>
                <w:szCs w:val="18"/>
              </w:rPr>
            </w:pPr>
            <w:r w:rsidRPr="00245CDC">
              <w:rPr>
                <w:rFonts w:cs="Arial"/>
                <w:sz w:val="18"/>
                <w:szCs w:val="18"/>
              </w:rPr>
              <w:t>0,2</w:t>
            </w:r>
            <w:r>
              <w:rPr>
                <w:rFonts w:cs="Arial"/>
                <w:sz w:val="18"/>
                <w:szCs w:val="18"/>
              </w:rPr>
              <w:t>0</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91CDD2" w14:textId="77777777" w:rsidR="00BE0988" w:rsidRPr="00245CDC" w:rsidRDefault="00BE0988" w:rsidP="00690DFE">
            <w:pPr>
              <w:spacing w:line="23" w:lineRule="atLeast"/>
              <w:jc w:val="center"/>
              <w:outlineLvl w:val="0"/>
              <w:rPr>
                <w:rFonts w:cs="Arial"/>
                <w:sz w:val="18"/>
                <w:szCs w:val="18"/>
              </w:rPr>
            </w:pPr>
            <w:r w:rsidRPr="00245CDC">
              <w:rPr>
                <w:rFonts w:cs="Arial"/>
                <w:sz w:val="18"/>
                <w:szCs w:val="18"/>
              </w:rPr>
              <w:t>0,</w:t>
            </w:r>
            <w:r>
              <w:rPr>
                <w:rFonts w:cs="Arial"/>
                <w:sz w:val="18"/>
                <w:szCs w:val="18"/>
              </w:rPr>
              <w:t>50</w:t>
            </w:r>
          </w:p>
        </w:tc>
      </w:tr>
      <w:tr w:rsidR="00BE0988" w:rsidRPr="00245CDC" w14:paraId="4CF2ADAF" w14:textId="77777777" w:rsidTr="00690DFE">
        <w:trPr>
          <w:trHeight w:val="241"/>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1E80A6" w14:textId="755FED7D" w:rsidR="00BE0988" w:rsidRPr="00245CDC" w:rsidRDefault="00BE0988" w:rsidP="00690DFE">
            <w:pPr>
              <w:spacing w:line="23" w:lineRule="atLeast"/>
              <w:jc w:val="left"/>
              <w:outlineLvl w:val="0"/>
              <w:rPr>
                <w:rFonts w:cs="Arial"/>
                <w:sz w:val="18"/>
                <w:szCs w:val="18"/>
              </w:rPr>
            </w:pPr>
            <w:r>
              <w:rPr>
                <w:rFonts w:cs="Arial"/>
                <w:sz w:val="18"/>
                <w:szCs w:val="18"/>
              </w:rPr>
              <w:t>Good</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3A3008" w14:textId="77777777" w:rsidR="00BE0988" w:rsidRPr="00245CDC" w:rsidRDefault="00BE0988" w:rsidP="00690DFE">
            <w:pPr>
              <w:spacing w:line="23" w:lineRule="atLeast"/>
              <w:jc w:val="center"/>
              <w:outlineLvl w:val="0"/>
              <w:rPr>
                <w:rFonts w:cs="Arial"/>
                <w:sz w:val="18"/>
                <w:szCs w:val="18"/>
              </w:rPr>
            </w:pPr>
            <w:r w:rsidRPr="00245CDC">
              <w:rPr>
                <w:rFonts w:cs="Arial"/>
                <w:sz w:val="18"/>
                <w:szCs w:val="18"/>
              </w:rPr>
              <w:t>0,4</w:t>
            </w:r>
            <w:r>
              <w:rPr>
                <w:rFonts w:cs="Arial"/>
                <w:sz w:val="18"/>
                <w:szCs w:val="18"/>
              </w:rPr>
              <w:t>1</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516094" w14:textId="77777777" w:rsidR="00BE0988" w:rsidRPr="00245CDC" w:rsidRDefault="00BE0988" w:rsidP="00690DFE">
            <w:pPr>
              <w:spacing w:line="23" w:lineRule="atLeast"/>
              <w:jc w:val="center"/>
              <w:outlineLvl w:val="0"/>
              <w:rPr>
                <w:rFonts w:cs="Arial"/>
                <w:sz w:val="18"/>
                <w:szCs w:val="18"/>
              </w:rPr>
            </w:pPr>
            <w:r w:rsidRPr="00245CDC">
              <w:rPr>
                <w:rFonts w:cs="Arial"/>
                <w:sz w:val="18"/>
                <w:szCs w:val="18"/>
              </w:rPr>
              <w:t>0,</w:t>
            </w:r>
            <w:r>
              <w:rPr>
                <w:rFonts w:cs="Arial"/>
                <w:sz w:val="18"/>
                <w:szCs w:val="18"/>
              </w:rPr>
              <w:t>69</w:t>
            </w:r>
          </w:p>
        </w:tc>
      </w:tr>
      <w:tr w:rsidR="00BE0988" w:rsidRPr="00245CDC" w14:paraId="27D7DC17" w14:textId="77777777" w:rsidTr="00690DFE">
        <w:trPr>
          <w:trHeight w:val="241"/>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FDFAF4" w14:textId="2D100905" w:rsidR="00BE0988" w:rsidRPr="00245CDC" w:rsidRDefault="00BE0988" w:rsidP="00690DFE">
            <w:pPr>
              <w:spacing w:line="23" w:lineRule="atLeast"/>
              <w:jc w:val="left"/>
              <w:outlineLvl w:val="0"/>
              <w:rPr>
                <w:rFonts w:cs="Arial"/>
                <w:sz w:val="18"/>
                <w:szCs w:val="18"/>
              </w:rPr>
            </w:pPr>
            <w:r w:rsidRPr="00BE0988">
              <w:rPr>
                <w:rFonts w:cs="Arial"/>
                <w:sz w:val="18"/>
                <w:szCs w:val="18"/>
              </w:rPr>
              <w:t>Satisfactory</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912579" w14:textId="77777777" w:rsidR="00BE0988" w:rsidRPr="00245CDC" w:rsidRDefault="00BE0988" w:rsidP="00690DFE">
            <w:pPr>
              <w:spacing w:line="23" w:lineRule="atLeast"/>
              <w:jc w:val="center"/>
              <w:outlineLvl w:val="0"/>
              <w:rPr>
                <w:rFonts w:cs="Arial"/>
                <w:sz w:val="18"/>
                <w:szCs w:val="18"/>
              </w:rPr>
            </w:pPr>
            <w:r w:rsidRPr="00245CDC">
              <w:rPr>
                <w:rFonts w:cs="Arial"/>
                <w:sz w:val="18"/>
                <w:szCs w:val="18"/>
              </w:rPr>
              <w:t>0,9</w:t>
            </w:r>
            <w:r>
              <w:rPr>
                <w:rFonts w:cs="Arial"/>
                <w:sz w:val="18"/>
                <w:szCs w:val="18"/>
              </w:rPr>
              <w:t>1</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7940F" w14:textId="77777777" w:rsidR="00BE0988" w:rsidRPr="00245CDC" w:rsidRDefault="00BE0988" w:rsidP="00690DFE">
            <w:pPr>
              <w:spacing w:line="23" w:lineRule="atLeast"/>
              <w:jc w:val="center"/>
              <w:outlineLvl w:val="0"/>
              <w:rPr>
                <w:rFonts w:cs="Arial"/>
                <w:sz w:val="18"/>
                <w:szCs w:val="18"/>
              </w:rPr>
            </w:pPr>
            <w:r w:rsidRPr="00245CDC">
              <w:rPr>
                <w:rFonts w:cs="Arial"/>
                <w:sz w:val="18"/>
                <w:szCs w:val="18"/>
              </w:rPr>
              <w:t>1,</w:t>
            </w:r>
            <w:r>
              <w:rPr>
                <w:rFonts w:cs="Arial"/>
                <w:sz w:val="18"/>
                <w:szCs w:val="18"/>
              </w:rPr>
              <w:t>17</w:t>
            </w:r>
          </w:p>
        </w:tc>
      </w:tr>
      <w:tr w:rsidR="00BE0988" w:rsidRPr="00245CDC" w14:paraId="55CB4835" w14:textId="77777777" w:rsidTr="00690DFE">
        <w:trPr>
          <w:trHeight w:val="241"/>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2333A0" w14:textId="6F2CB0E3" w:rsidR="00BE0988" w:rsidRPr="00245CDC" w:rsidRDefault="005E3484" w:rsidP="00690DFE">
            <w:pPr>
              <w:spacing w:line="23" w:lineRule="atLeast"/>
              <w:jc w:val="left"/>
              <w:outlineLvl w:val="0"/>
              <w:rPr>
                <w:rFonts w:cs="Arial"/>
                <w:sz w:val="18"/>
                <w:szCs w:val="18"/>
              </w:rPr>
            </w:pPr>
            <w:r>
              <w:rPr>
                <w:rFonts w:cs="Arial"/>
                <w:sz w:val="18"/>
                <w:szCs w:val="18"/>
              </w:rPr>
              <w:t>Weak</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804FBA" w14:textId="77777777" w:rsidR="00BE0988" w:rsidRPr="00245CDC" w:rsidRDefault="00BE0988" w:rsidP="00690DFE">
            <w:pPr>
              <w:spacing w:line="23" w:lineRule="atLeast"/>
              <w:jc w:val="center"/>
              <w:outlineLvl w:val="0"/>
              <w:rPr>
                <w:rFonts w:cs="Arial"/>
                <w:sz w:val="18"/>
                <w:szCs w:val="18"/>
              </w:rPr>
            </w:pPr>
            <w:r w:rsidRPr="00245CDC">
              <w:rPr>
                <w:rFonts w:cs="Arial"/>
                <w:sz w:val="18"/>
                <w:szCs w:val="18"/>
              </w:rPr>
              <w:t>2,3</w:t>
            </w:r>
            <w:r>
              <w:rPr>
                <w:rFonts w:cs="Arial"/>
                <w:sz w:val="18"/>
                <w:szCs w:val="18"/>
              </w:rPr>
              <w:t>1</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7F5ACD" w14:textId="77777777" w:rsidR="00BE0988" w:rsidRPr="00245CDC" w:rsidRDefault="00BE0988" w:rsidP="00690DFE">
            <w:pPr>
              <w:spacing w:line="23" w:lineRule="atLeast"/>
              <w:jc w:val="center"/>
              <w:outlineLvl w:val="0"/>
              <w:rPr>
                <w:rFonts w:cs="Arial"/>
                <w:sz w:val="18"/>
                <w:szCs w:val="18"/>
              </w:rPr>
            </w:pPr>
            <w:r w:rsidRPr="00245CDC">
              <w:rPr>
                <w:rFonts w:cs="Arial"/>
                <w:sz w:val="18"/>
                <w:szCs w:val="18"/>
              </w:rPr>
              <w:t>2,</w:t>
            </w:r>
            <w:r>
              <w:rPr>
                <w:rFonts w:cs="Arial"/>
                <w:sz w:val="18"/>
                <w:szCs w:val="18"/>
              </w:rPr>
              <w:t>6</w:t>
            </w:r>
            <w:r w:rsidRPr="00245CDC">
              <w:rPr>
                <w:rFonts w:cs="Arial"/>
                <w:sz w:val="18"/>
                <w:szCs w:val="18"/>
              </w:rPr>
              <w:t>1</w:t>
            </w:r>
          </w:p>
        </w:tc>
      </w:tr>
    </w:tbl>
    <w:p w14:paraId="66374CD9" w14:textId="77777777" w:rsidR="00BE0988" w:rsidRPr="003E084F" w:rsidRDefault="00BE0988" w:rsidP="009F4D0A">
      <w:pPr>
        <w:rPr>
          <w:sz w:val="22"/>
          <w:szCs w:val="22"/>
          <w:lang w:eastAsia="zh-CN"/>
        </w:rPr>
      </w:pPr>
    </w:p>
    <w:p w14:paraId="171C05CD" w14:textId="77777777" w:rsidR="00C1212F" w:rsidRPr="003E084F" w:rsidRDefault="00C1212F" w:rsidP="009F4D0A">
      <w:pPr>
        <w:autoSpaceDE w:val="0"/>
        <w:autoSpaceDN w:val="0"/>
        <w:adjustRightInd w:val="0"/>
        <w:jc w:val="left"/>
        <w:rPr>
          <w:rFonts w:cs="Arial"/>
        </w:rPr>
      </w:pPr>
    </w:p>
    <w:p w14:paraId="29174F28" w14:textId="502836F3" w:rsidR="00C1212F" w:rsidRPr="003E084F" w:rsidRDefault="00C1212F" w:rsidP="00E24FB3">
      <w:pPr>
        <w:rPr>
          <w:sz w:val="22"/>
          <w:szCs w:val="22"/>
          <w:lang w:eastAsia="zh-CN"/>
        </w:rPr>
      </w:pPr>
      <w:r w:rsidRPr="003E084F">
        <w:rPr>
          <w:sz w:val="22"/>
          <w:szCs w:val="22"/>
          <w:lang w:eastAsia="zh-CN"/>
        </w:rPr>
        <w:t xml:space="preserve">HBOR under existing insurance program charges a fee for processing the application for insurance, in accordance with the valid decision on compensation for services performed by HBOR, and the exporter as an applicant for insurance, additionally pays cost for </w:t>
      </w:r>
      <w:r w:rsidR="00A05AF1">
        <w:rPr>
          <w:sz w:val="22"/>
          <w:szCs w:val="22"/>
          <w:lang w:eastAsia="zh-CN"/>
        </w:rPr>
        <w:t>Credit</w:t>
      </w:r>
      <w:r w:rsidR="00A05AF1" w:rsidRPr="003E084F">
        <w:rPr>
          <w:sz w:val="22"/>
          <w:szCs w:val="22"/>
          <w:lang w:eastAsia="zh-CN"/>
        </w:rPr>
        <w:t xml:space="preserve"> </w:t>
      </w:r>
      <w:r w:rsidRPr="003E084F">
        <w:rPr>
          <w:sz w:val="22"/>
          <w:szCs w:val="22"/>
          <w:lang w:eastAsia="zh-CN"/>
        </w:rPr>
        <w:t xml:space="preserve">report. </w:t>
      </w:r>
    </w:p>
    <w:p w14:paraId="7E448885" w14:textId="77777777" w:rsidR="00C1212F" w:rsidRPr="003E084F" w:rsidRDefault="00C1212F" w:rsidP="00E24FB3">
      <w:pPr>
        <w:autoSpaceDE w:val="0"/>
        <w:autoSpaceDN w:val="0"/>
        <w:adjustRightInd w:val="0"/>
        <w:rPr>
          <w:rFonts w:cs="Arial"/>
        </w:rPr>
      </w:pPr>
    </w:p>
    <w:p w14:paraId="2636521A" w14:textId="77777777" w:rsidR="009F4D0A" w:rsidRPr="003E084F" w:rsidRDefault="009F4D0A" w:rsidP="00E24FB3">
      <w:pPr>
        <w:autoSpaceDE w:val="0"/>
        <w:autoSpaceDN w:val="0"/>
        <w:adjustRightInd w:val="0"/>
        <w:rPr>
          <w:sz w:val="22"/>
          <w:szCs w:val="22"/>
          <w:lang w:eastAsia="zh-CN"/>
        </w:rPr>
      </w:pPr>
      <w:r w:rsidRPr="003E084F">
        <w:rPr>
          <w:sz w:val="22"/>
          <w:szCs w:val="22"/>
          <w:lang w:eastAsia="zh-CN"/>
        </w:rPr>
        <w:t>Credit analysis and classification of the buyer are based on the buyer’s country, business</w:t>
      </w:r>
      <w:r w:rsidR="000A5E2C" w:rsidRPr="003E084F">
        <w:rPr>
          <w:sz w:val="22"/>
          <w:szCs w:val="22"/>
          <w:lang w:eastAsia="zh-CN"/>
        </w:rPr>
        <w:t xml:space="preserve"> </w:t>
      </w:r>
      <w:r w:rsidRPr="003E084F">
        <w:rPr>
          <w:sz w:val="22"/>
          <w:szCs w:val="22"/>
          <w:lang w:eastAsia="zh-CN"/>
        </w:rPr>
        <w:t>climate in the country, payment experience as regard the buyer, and financial</w:t>
      </w:r>
      <w:r w:rsidR="000A5E2C" w:rsidRPr="003E084F">
        <w:rPr>
          <w:sz w:val="22"/>
          <w:szCs w:val="22"/>
          <w:lang w:eastAsia="zh-CN"/>
        </w:rPr>
        <w:t xml:space="preserve"> </w:t>
      </w:r>
      <w:r w:rsidRPr="003E084F">
        <w:rPr>
          <w:sz w:val="22"/>
          <w:szCs w:val="22"/>
          <w:lang w:eastAsia="zh-CN"/>
        </w:rPr>
        <w:t xml:space="preserve">information of the buyer. </w:t>
      </w:r>
      <w:r w:rsidR="000A5E2C" w:rsidRPr="003E084F">
        <w:rPr>
          <w:sz w:val="22"/>
          <w:szCs w:val="22"/>
          <w:lang w:eastAsia="zh-CN"/>
        </w:rPr>
        <w:t xml:space="preserve">HBOR </w:t>
      </w:r>
      <w:r w:rsidRPr="003E084F">
        <w:rPr>
          <w:sz w:val="22"/>
          <w:szCs w:val="22"/>
          <w:lang w:eastAsia="zh-CN"/>
        </w:rPr>
        <w:t xml:space="preserve">will </w:t>
      </w:r>
      <w:r w:rsidR="000A5E2C" w:rsidRPr="003E084F">
        <w:rPr>
          <w:sz w:val="22"/>
          <w:szCs w:val="22"/>
          <w:lang w:eastAsia="zh-CN"/>
        </w:rPr>
        <w:t>a</w:t>
      </w:r>
      <w:r w:rsidRPr="003E084F">
        <w:rPr>
          <w:sz w:val="22"/>
          <w:szCs w:val="22"/>
          <w:lang w:eastAsia="zh-CN"/>
        </w:rPr>
        <w:t>pply its standard risk assessment and</w:t>
      </w:r>
      <w:r w:rsidR="000A5E2C" w:rsidRPr="003E084F">
        <w:rPr>
          <w:sz w:val="22"/>
          <w:szCs w:val="22"/>
          <w:lang w:eastAsia="zh-CN"/>
        </w:rPr>
        <w:t xml:space="preserve"> </w:t>
      </w:r>
      <w:r w:rsidRPr="003E084F">
        <w:rPr>
          <w:sz w:val="22"/>
          <w:szCs w:val="22"/>
          <w:lang w:eastAsia="zh-CN"/>
        </w:rPr>
        <w:t>underwriting procedure, when assessing each transaction or turnover to be covered.</w:t>
      </w:r>
    </w:p>
    <w:p w14:paraId="0CF8659F" w14:textId="77777777" w:rsidR="00E435AF" w:rsidRPr="003E084F" w:rsidRDefault="00E435AF" w:rsidP="00A01EA6">
      <w:pPr>
        <w:rPr>
          <w:b/>
          <w:sz w:val="22"/>
          <w:szCs w:val="22"/>
          <w:lang w:eastAsia="zh-CN"/>
        </w:rPr>
      </w:pPr>
    </w:p>
    <w:p w14:paraId="305F44C0" w14:textId="77777777" w:rsidR="009C526C" w:rsidRPr="009338C3" w:rsidRDefault="008D67AB" w:rsidP="00A01EA6">
      <w:pPr>
        <w:rPr>
          <w:b/>
          <w:sz w:val="22"/>
          <w:szCs w:val="22"/>
          <w:lang w:eastAsia="zh-CN"/>
        </w:rPr>
      </w:pPr>
      <w:r w:rsidRPr="009338C3">
        <w:rPr>
          <w:b/>
          <w:sz w:val="22"/>
          <w:szCs w:val="22"/>
          <w:lang w:eastAsia="zh-CN"/>
        </w:rPr>
        <w:t>2</w:t>
      </w:r>
      <w:r w:rsidR="00253A2D" w:rsidRPr="009338C3">
        <w:rPr>
          <w:b/>
          <w:sz w:val="22"/>
          <w:szCs w:val="22"/>
          <w:lang w:eastAsia="zh-CN"/>
        </w:rPr>
        <w:t>.</w:t>
      </w:r>
      <w:r w:rsidR="00A01EA6" w:rsidRPr="009338C3">
        <w:rPr>
          <w:b/>
          <w:sz w:val="22"/>
          <w:szCs w:val="22"/>
          <w:lang w:eastAsia="zh-CN"/>
        </w:rPr>
        <w:t xml:space="preserve">2. </w:t>
      </w:r>
      <w:r w:rsidR="009C526C" w:rsidRPr="009338C3">
        <w:rPr>
          <w:b/>
          <w:sz w:val="22"/>
          <w:szCs w:val="22"/>
          <w:lang w:eastAsia="zh-CN"/>
        </w:rPr>
        <w:t>The insurance of short-term export receivables for exporters with annual export turnover up to</w:t>
      </w:r>
      <w:r w:rsidR="003E084F" w:rsidRPr="009338C3">
        <w:rPr>
          <w:b/>
          <w:sz w:val="22"/>
          <w:szCs w:val="22"/>
          <w:lang w:eastAsia="zh-CN"/>
        </w:rPr>
        <w:t xml:space="preserve"> EUR </w:t>
      </w:r>
      <w:r w:rsidR="009C526C" w:rsidRPr="009338C3">
        <w:rPr>
          <w:b/>
          <w:sz w:val="22"/>
          <w:szCs w:val="22"/>
          <w:lang w:eastAsia="zh-CN"/>
        </w:rPr>
        <w:t>2 million</w:t>
      </w:r>
    </w:p>
    <w:p w14:paraId="51DD583C" w14:textId="77777777" w:rsidR="009C526C" w:rsidRPr="009338C3" w:rsidRDefault="009C526C" w:rsidP="00A01EA6">
      <w:pPr>
        <w:rPr>
          <w:b/>
          <w:sz w:val="22"/>
          <w:szCs w:val="22"/>
          <w:lang w:eastAsia="zh-CN"/>
        </w:rPr>
      </w:pPr>
    </w:p>
    <w:p w14:paraId="338ED183" w14:textId="31D0DAED" w:rsidR="00F676BC" w:rsidRPr="009338C3" w:rsidRDefault="00F8389F" w:rsidP="008C69CA">
      <w:pPr>
        <w:rPr>
          <w:sz w:val="22"/>
          <w:szCs w:val="22"/>
          <w:lang w:eastAsia="zh-CN"/>
        </w:rPr>
      </w:pPr>
      <w:r w:rsidRPr="009338C3">
        <w:rPr>
          <w:sz w:val="22"/>
          <w:szCs w:val="22"/>
          <w:lang w:eastAsia="zh-CN"/>
        </w:rPr>
        <w:t xml:space="preserve">HBOR </w:t>
      </w:r>
      <w:r w:rsidR="00782697">
        <w:rPr>
          <w:sz w:val="22"/>
          <w:szCs w:val="22"/>
          <w:lang w:eastAsia="zh-CN"/>
        </w:rPr>
        <w:t>provides</w:t>
      </w:r>
      <w:r w:rsidRPr="009338C3">
        <w:rPr>
          <w:sz w:val="22"/>
          <w:szCs w:val="22"/>
          <w:lang w:eastAsia="zh-CN"/>
        </w:rPr>
        <w:t xml:space="preserve"> Program</w:t>
      </w:r>
      <w:r w:rsidR="00B61F51">
        <w:rPr>
          <w:sz w:val="22"/>
          <w:szCs w:val="22"/>
          <w:lang w:eastAsia="zh-CN"/>
        </w:rPr>
        <w:t xml:space="preserve"> </w:t>
      </w:r>
      <w:r w:rsidR="009C526C" w:rsidRPr="009338C3">
        <w:rPr>
          <w:sz w:val="22"/>
          <w:szCs w:val="22"/>
          <w:lang w:eastAsia="zh-CN"/>
        </w:rPr>
        <w:t xml:space="preserve">for the insurance of </w:t>
      </w:r>
      <w:r w:rsidR="003E084F" w:rsidRPr="009338C3">
        <w:rPr>
          <w:sz w:val="22"/>
          <w:szCs w:val="22"/>
          <w:lang w:eastAsia="zh-CN"/>
        </w:rPr>
        <w:t>short-term export receivables for</w:t>
      </w:r>
      <w:r w:rsidR="00CB4F3E">
        <w:rPr>
          <w:sz w:val="22"/>
          <w:szCs w:val="22"/>
          <w:lang w:eastAsia="zh-CN"/>
        </w:rPr>
        <w:t xml:space="preserve"> SME</w:t>
      </w:r>
      <w:r w:rsidR="003E084F" w:rsidRPr="009338C3">
        <w:rPr>
          <w:sz w:val="22"/>
          <w:szCs w:val="22"/>
          <w:lang w:eastAsia="zh-CN"/>
        </w:rPr>
        <w:t xml:space="preserve"> exporters with annual export turnover up to EUR 2 million</w:t>
      </w:r>
      <w:r w:rsidR="00877250" w:rsidRPr="009338C3">
        <w:rPr>
          <w:sz w:val="22"/>
          <w:szCs w:val="22"/>
          <w:lang w:eastAsia="zh-CN"/>
        </w:rPr>
        <w:t xml:space="preserve"> </w:t>
      </w:r>
      <w:r w:rsidR="00F676BC" w:rsidRPr="009338C3">
        <w:rPr>
          <w:sz w:val="22"/>
          <w:szCs w:val="22"/>
          <w:lang w:eastAsia="zh-CN"/>
        </w:rPr>
        <w:t>as an additional measure of export promotion intended for</w:t>
      </w:r>
      <w:r w:rsidR="003E084F" w:rsidRPr="009338C3">
        <w:rPr>
          <w:sz w:val="22"/>
          <w:szCs w:val="22"/>
          <w:lang w:eastAsia="zh-CN"/>
        </w:rPr>
        <w:t xml:space="preserve"> small</w:t>
      </w:r>
      <w:r w:rsidR="00F676BC" w:rsidRPr="009338C3">
        <w:rPr>
          <w:sz w:val="22"/>
          <w:szCs w:val="22"/>
          <w:lang w:eastAsia="zh-CN"/>
        </w:rPr>
        <w:t xml:space="preserve"> exporters and entrepreneurs starting the sale of their products and services in the foreign market with agreed maximum payment terms of up to 180 days</w:t>
      </w:r>
      <w:r w:rsidR="003E084F" w:rsidRPr="009338C3">
        <w:rPr>
          <w:sz w:val="22"/>
          <w:szCs w:val="22"/>
          <w:lang w:eastAsia="zh-CN"/>
        </w:rPr>
        <w:t xml:space="preserve">. </w:t>
      </w:r>
      <w:r w:rsidR="00F676BC" w:rsidRPr="009338C3">
        <w:rPr>
          <w:sz w:val="22"/>
          <w:szCs w:val="22"/>
          <w:lang w:eastAsia="zh-CN"/>
        </w:rPr>
        <w:t xml:space="preserve">The Program is an additional measure of HBOR for micro and small business entities engaged in export business that should enable them to offer competitive payment terms and conditions to their </w:t>
      </w:r>
      <w:r w:rsidR="0076607D" w:rsidRPr="009338C3">
        <w:rPr>
          <w:sz w:val="22"/>
          <w:szCs w:val="22"/>
          <w:lang w:eastAsia="zh-CN"/>
        </w:rPr>
        <w:t>foreign</w:t>
      </w:r>
      <w:r w:rsidR="00F676BC" w:rsidRPr="009338C3">
        <w:rPr>
          <w:sz w:val="22"/>
          <w:szCs w:val="22"/>
          <w:lang w:eastAsia="zh-CN"/>
        </w:rPr>
        <w:t xml:space="preserve"> buyers and protect them from the risk of non-payment.</w:t>
      </w:r>
    </w:p>
    <w:p w14:paraId="09084EA8" w14:textId="77777777" w:rsidR="00E435AF" w:rsidRPr="009338C3" w:rsidRDefault="00E435AF" w:rsidP="008C69CA">
      <w:pPr>
        <w:rPr>
          <w:sz w:val="22"/>
          <w:szCs w:val="22"/>
          <w:lang w:eastAsia="zh-CN"/>
        </w:rPr>
      </w:pPr>
    </w:p>
    <w:p w14:paraId="1EBE4220" w14:textId="4F428171" w:rsidR="00F676BC" w:rsidRPr="009338C3" w:rsidRDefault="00692B78" w:rsidP="008C69CA">
      <w:pPr>
        <w:rPr>
          <w:sz w:val="22"/>
          <w:szCs w:val="22"/>
          <w:lang w:eastAsia="zh-CN"/>
        </w:rPr>
      </w:pPr>
      <w:r w:rsidRPr="009338C3">
        <w:rPr>
          <w:sz w:val="22"/>
          <w:szCs w:val="22"/>
          <w:lang w:eastAsia="zh-CN"/>
        </w:rPr>
        <w:t>In each insured risk, HBOR can participate with the maximum share of 95%, depending on the risk assessment.</w:t>
      </w:r>
      <w:r w:rsidR="008C69CA" w:rsidRPr="009338C3">
        <w:t xml:space="preserve"> </w:t>
      </w:r>
      <w:r w:rsidR="008C69CA" w:rsidRPr="009338C3">
        <w:rPr>
          <w:sz w:val="22"/>
          <w:szCs w:val="22"/>
          <w:lang w:eastAsia="zh-CN"/>
        </w:rPr>
        <w:t>For risks taken, HBOR shall charge the exporters the insurance premium</w:t>
      </w:r>
      <w:r w:rsidR="00F676BC" w:rsidRPr="009338C3">
        <w:rPr>
          <w:sz w:val="22"/>
          <w:szCs w:val="22"/>
          <w:lang w:eastAsia="zh-CN"/>
        </w:rPr>
        <w:t>.</w:t>
      </w:r>
      <w:r w:rsidR="00F676BC" w:rsidRPr="009338C3">
        <w:t xml:space="preserve"> </w:t>
      </w:r>
      <w:r w:rsidR="00E435AF" w:rsidRPr="009338C3">
        <w:rPr>
          <w:sz w:val="22"/>
          <w:szCs w:val="22"/>
          <w:lang w:eastAsia="zh-CN"/>
        </w:rPr>
        <w:t xml:space="preserve">HBOR’s minimum premium rates are higher than those prescribed by European Commission in point 23 of the Communication. The </w:t>
      </w:r>
      <w:r w:rsidR="005B078E">
        <w:rPr>
          <w:sz w:val="22"/>
          <w:szCs w:val="22"/>
          <w:lang w:eastAsia="zh-CN"/>
        </w:rPr>
        <w:t>s</w:t>
      </w:r>
      <w:r w:rsidR="00E435AF" w:rsidRPr="009338C3">
        <w:rPr>
          <w:sz w:val="22"/>
          <w:szCs w:val="22"/>
          <w:lang w:eastAsia="zh-CN"/>
        </w:rPr>
        <w:t xml:space="preserve">um insured may not exceed EUR </w:t>
      </w:r>
      <w:r w:rsidR="00AE0589">
        <w:rPr>
          <w:sz w:val="22"/>
          <w:szCs w:val="22"/>
          <w:lang w:eastAsia="zh-CN"/>
        </w:rPr>
        <w:t>1</w:t>
      </w:r>
      <w:r w:rsidR="00E435AF" w:rsidRPr="009338C3">
        <w:rPr>
          <w:sz w:val="22"/>
          <w:szCs w:val="22"/>
          <w:lang w:eastAsia="zh-CN"/>
        </w:rPr>
        <w:t>50,000.00</w:t>
      </w:r>
      <w:r w:rsidR="00AE0589">
        <w:rPr>
          <w:rStyle w:val="FootnoteReference"/>
          <w:sz w:val="22"/>
          <w:szCs w:val="22"/>
          <w:lang w:eastAsia="zh-CN"/>
        </w:rPr>
        <w:footnoteReference w:id="1"/>
      </w:r>
      <w:r w:rsidR="00E435AF" w:rsidRPr="009338C3">
        <w:rPr>
          <w:sz w:val="22"/>
          <w:szCs w:val="22"/>
          <w:lang w:eastAsia="zh-CN"/>
        </w:rPr>
        <w:t xml:space="preserve">. </w:t>
      </w:r>
      <w:r w:rsidR="00874ED9" w:rsidRPr="009338C3">
        <w:rPr>
          <w:sz w:val="22"/>
          <w:szCs w:val="22"/>
          <w:lang w:eastAsia="zh-CN"/>
        </w:rPr>
        <w:t>The duration of insurance may be arranged for a period of 3</w:t>
      </w:r>
      <w:r w:rsidR="003E084F" w:rsidRPr="009338C3">
        <w:rPr>
          <w:sz w:val="22"/>
          <w:szCs w:val="22"/>
          <w:lang w:eastAsia="zh-CN"/>
        </w:rPr>
        <w:t>,</w:t>
      </w:r>
      <w:r w:rsidR="00874ED9" w:rsidRPr="009338C3">
        <w:rPr>
          <w:sz w:val="22"/>
          <w:szCs w:val="22"/>
          <w:lang w:eastAsia="zh-CN"/>
        </w:rPr>
        <w:t xml:space="preserve"> 6 or 12 months</w:t>
      </w:r>
      <w:r w:rsidR="003E084F" w:rsidRPr="009338C3">
        <w:rPr>
          <w:sz w:val="22"/>
          <w:szCs w:val="22"/>
          <w:lang w:eastAsia="zh-CN"/>
        </w:rPr>
        <w:t>.</w:t>
      </w:r>
      <w:r w:rsidR="00874ED9" w:rsidRPr="009338C3">
        <w:rPr>
          <w:sz w:val="22"/>
          <w:szCs w:val="22"/>
          <w:lang w:eastAsia="zh-CN"/>
        </w:rPr>
        <w:t xml:space="preserve"> </w:t>
      </w:r>
    </w:p>
    <w:p w14:paraId="03FB76DB" w14:textId="77777777" w:rsidR="00692B78" w:rsidRPr="009338C3" w:rsidRDefault="00692B78" w:rsidP="00A01EA6">
      <w:pPr>
        <w:rPr>
          <w:sz w:val="22"/>
          <w:szCs w:val="22"/>
          <w:lang w:eastAsia="zh-CN"/>
        </w:rPr>
      </w:pPr>
    </w:p>
    <w:p w14:paraId="610B6FFF" w14:textId="67EA0D50" w:rsidR="00877250" w:rsidRPr="009338C3" w:rsidRDefault="00877250" w:rsidP="00877250">
      <w:pPr>
        <w:rPr>
          <w:sz w:val="22"/>
          <w:szCs w:val="22"/>
          <w:lang w:eastAsia="zh-CN"/>
        </w:rPr>
      </w:pPr>
      <w:r w:rsidRPr="009338C3">
        <w:rPr>
          <w:sz w:val="22"/>
          <w:szCs w:val="22"/>
          <w:lang w:eastAsia="zh-CN"/>
        </w:rPr>
        <w:t xml:space="preserve">HBOR under existing insurance program charges a fee for processing the application for insurance, in accordance with the valid decision on compensation for services performed by HBOR, and the exporter as an applicant for insurance, additionally pays cost for </w:t>
      </w:r>
      <w:r w:rsidR="00A05AF1">
        <w:rPr>
          <w:sz w:val="22"/>
          <w:szCs w:val="22"/>
          <w:lang w:eastAsia="zh-CN"/>
        </w:rPr>
        <w:t>Credit</w:t>
      </w:r>
      <w:r w:rsidR="00826F90">
        <w:rPr>
          <w:sz w:val="22"/>
          <w:szCs w:val="22"/>
          <w:lang w:eastAsia="zh-CN"/>
        </w:rPr>
        <w:t xml:space="preserve"> R</w:t>
      </w:r>
      <w:r w:rsidRPr="009338C3">
        <w:rPr>
          <w:sz w:val="22"/>
          <w:szCs w:val="22"/>
          <w:lang w:eastAsia="zh-CN"/>
        </w:rPr>
        <w:t xml:space="preserve">eport. </w:t>
      </w:r>
    </w:p>
    <w:p w14:paraId="0ED46B92" w14:textId="77777777" w:rsidR="00877250" w:rsidRPr="009338C3" w:rsidRDefault="00877250" w:rsidP="008C69CA">
      <w:pPr>
        <w:rPr>
          <w:sz w:val="22"/>
          <w:szCs w:val="22"/>
          <w:lang w:eastAsia="zh-CN"/>
        </w:rPr>
      </w:pPr>
    </w:p>
    <w:p w14:paraId="062F8307" w14:textId="77777777" w:rsidR="00877250" w:rsidRPr="003E084F" w:rsidRDefault="00877250" w:rsidP="008C69CA">
      <w:pPr>
        <w:rPr>
          <w:sz w:val="22"/>
          <w:szCs w:val="22"/>
          <w:lang w:eastAsia="zh-CN"/>
        </w:rPr>
      </w:pPr>
      <w:r w:rsidRPr="009338C3">
        <w:rPr>
          <w:sz w:val="22"/>
          <w:szCs w:val="22"/>
          <w:lang w:eastAsia="zh-CN"/>
        </w:rPr>
        <w:t>Credit analysis and classification of the buyer are based on the buyer’s country, business climate in the country, payment experience as regard the buyer, and financial information of the buyer. HBOR will apply its standard risk assessment and underwriting procedure, when assessing each transaction or turnover to be covered.</w:t>
      </w:r>
    </w:p>
    <w:p w14:paraId="67C265DA" w14:textId="77777777" w:rsidR="009C526C" w:rsidRPr="003E084F" w:rsidRDefault="009C526C" w:rsidP="00A01EA6">
      <w:pPr>
        <w:rPr>
          <w:b/>
          <w:sz w:val="22"/>
          <w:szCs w:val="22"/>
          <w:lang w:eastAsia="zh-CN"/>
        </w:rPr>
      </w:pPr>
    </w:p>
    <w:p w14:paraId="27CA52E2" w14:textId="6BFE99B2" w:rsidR="00A01EA6" w:rsidRDefault="008D67AB" w:rsidP="00A01EA6">
      <w:pPr>
        <w:rPr>
          <w:b/>
          <w:sz w:val="22"/>
          <w:szCs w:val="22"/>
          <w:lang w:eastAsia="zh-CN"/>
        </w:rPr>
      </w:pPr>
      <w:r>
        <w:rPr>
          <w:b/>
          <w:sz w:val="22"/>
          <w:szCs w:val="22"/>
          <w:lang w:eastAsia="zh-CN"/>
        </w:rPr>
        <w:t>2</w:t>
      </w:r>
      <w:r w:rsidR="009C526C" w:rsidRPr="003E084F">
        <w:rPr>
          <w:b/>
          <w:sz w:val="22"/>
          <w:szCs w:val="22"/>
          <w:lang w:eastAsia="zh-CN"/>
        </w:rPr>
        <w:t xml:space="preserve">.3. </w:t>
      </w:r>
      <w:r w:rsidR="00A01EA6" w:rsidRPr="003E084F">
        <w:rPr>
          <w:b/>
          <w:sz w:val="22"/>
          <w:szCs w:val="22"/>
          <w:lang w:eastAsia="zh-CN"/>
        </w:rPr>
        <w:t>The reinsurance of short-term export receivables</w:t>
      </w:r>
    </w:p>
    <w:p w14:paraId="215B33B5" w14:textId="77777777" w:rsidR="00D14D19" w:rsidRPr="003E084F" w:rsidRDefault="00D14D19" w:rsidP="00A01EA6">
      <w:pPr>
        <w:rPr>
          <w:b/>
          <w:sz w:val="22"/>
          <w:szCs w:val="22"/>
          <w:lang w:eastAsia="zh-CN"/>
        </w:rPr>
      </w:pPr>
    </w:p>
    <w:p w14:paraId="1CE34A30" w14:textId="6866E897" w:rsidR="00640BF9" w:rsidRDefault="00A01EA6" w:rsidP="00C229FC">
      <w:pPr>
        <w:rPr>
          <w:sz w:val="22"/>
          <w:szCs w:val="22"/>
          <w:lang w:eastAsia="zh-CN"/>
        </w:rPr>
      </w:pPr>
      <w:bookmarkStart w:id="0" w:name="_Hlk10710630"/>
      <w:r w:rsidRPr="003E084F">
        <w:rPr>
          <w:sz w:val="22"/>
          <w:szCs w:val="22"/>
          <w:lang w:eastAsia="zh-CN"/>
        </w:rPr>
        <w:t xml:space="preserve">By the Program it is possible to reinsure </w:t>
      </w:r>
      <w:r w:rsidR="006A2C01">
        <w:rPr>
          <w:sz w:val="22"/>
          <w:szCs w:val="22"/>
          <w:lang w:eastAsia="zh-CN"/>
        </w:rPr>
        <w:t>(</w:t>
      </w:r>
      <w:r w:rsidRPr="003E084F">
        <w:rPr>
          <w:sz w:val="22"/>
          <w:szCs w:val="22"/>
          <w:lang w:eastAsia="zh-CN"/>
        </w:rPr>
        <w:t>on the quota</w:t>
      </w:r>
      <w:r w:rsidR="00C229FC">
        <w:rPr>
          <w:sz w:val="22"/>
          <w:szCs w:val="22"/>
          <w:lang w:eastAsia="zh-CN"/>
        </w:rPr>
        <w:t xml:space="preserve"> </w:t>
      </w:r>
      <w:r w:rsidRPr="003E084F">
        <w:rPr>
          <w:sz w:val="22"/>
          <w:szCs w:val="22"/>
          <w:lang w:eastAsia="zh-CN"/>
        </w:rPr>
        <w:t xml:space="preserve">share </w:t>
      </w:r>
      <w:r w:rsidR="006A2C01">
        <w:rPr>
          <w:sz w:val="22"/>
          <w:szCs w:val="22"/>
          <w:lang w:eastAsia="zh-CN"/>
        </w:rPr>
        <w:t xml:space="preserve">treaty </w:t>
      </w:r>
      <w:r w:rsidRPr="003E084F">
        <w:rPr>
          <w:sz w:val="22"/>
          <w:szCs w:val="22"/>
          <w:lang w:eastAsia="zh-CN"/>
        </w:rPr>
        <w:t>bas</w:t>
      </w:r>
      <w:r w:rsidR="006A2C01">
        <w:rPr>
          <w:sz w:val="22"/>
          <w:szCs w:val="22"/>
          <w:lang w:eastAsia="zh-CN"/>
        </w:rPr>
        <w:t>i</w:t>
      </w:r>
      <w:r w:rsidRPr="003E084F">
        <w:rPr>
          <w:sz w:val="22"/>
          <w:szCs w:val="22"/>
          <w:lang w:eastAsia="zh-CN"/>
        </w:rPr>
        <w:t>s</w:t>
      </w:r>
      <w:r w:rsidR="006A2C01">
        <w:rPr>
          <w:sz w:val="22"/>
          <w:szCs w:val="22"/>
          <w:lang w:eastAsia="zh-CN"/>
        </w:rPr>
        <w:t>)</w:t>
      </w:r>
      <w:r w:rsidRPr="003E084F">
        <w:rPr>
          <w:sz w:val="22"/>
          <w:szCs w:val="22"/>
          <w:lang w:eastAsia="zh-CN"/>
        </w:rPr>
        <w:t xml:space="preserve"> short-term export receivables of private insurers</w:t>
      </w:r>
      <w:r w:rsidR="006A2C01">
        <w:rPr>
          <w:sz w:val="22"/>
          <w:szCs w:val="22"/>
          <w:lang w:eastAsia="zh-CN"/>
        </w:rPr>
        <w:t xml:space="preserve"> </w:t>
      </w:r>
      <w:r w:rsidR="006A2C01" w:rsidRPr="003E084F">
        <w:rPr>
          <w:sz w:val="22"/>
          <w:szCs w:val="22"/>
          <w:lang w:eastAsia="zh-CN"/>
        </w:rPr>
        <w:t xml:space="preserve">with a risk period of </w:t>
      </w:r>
      <w:r w:rsidR="006A2C01">
        <w:rPr>
          <w:sz w:val="22"/>
          <w:szCs w:val="22"/>
          <w:lang w:eastAsia="zh-CN"/>
        </w:rPr>
        <w:t>up to t</w:t>
      </w:r>
      <w:r w:rsidR="006A2C01" w:rsidRPr="003E084F">
        <w:rPr>
          <w:sz w:val="22"/>
          <w:szCs w:val="22"/>
          <w:lang w:eastAsia="zh-CN"/>
        </w:rPr>
        <w:t>wo years</w:t>
      </w:r>
      <w:r w:rsidRPr="003E084F">
        <w:rPr>
          <w:sz w:val="22"/>
          <w:szCs w:val="22"/>
          <w:lang w:eastAsia="zh-CN"/>
        </w:rPr>
        <w:t xml:space="preserve"> against temporarily non-marketable commercial and political risks</w:t>
      </w:r>
      <w:r w:rsidR="000A5E2C" w:rsidRPr="003E084F">
        <w:rPr>
          <w:sz w:val="22"/>
          <w:szCs w:val="22"/>
          <w:lang w:eastAsia="zh-CN"/>
        </w:rPr>
        <w:t xml:space="preserve"> i.e. short-term export</w:t>
      </w:r>
      <w:r w:rsidR="008C48AA">
        <w:rPr>
          <w:sz w:val="22"/>
          <w:szCs w:val="22"/>
          <w:lang w:eastAsia="zh-CN"/>
        </w:rPr>
        <w:t xml:space="preserve"> </w:t>
      </w:r>
      <w:r w:rsidR="006A2C01">
        <w:rPr>
          <w:sz w:val="22"/>
          <w:szCs w:val="22"/>
          <w:lang w:eastAsia="zh-CN"/>
        </w:rPr>
        <w:t>receivables of co</w:t>
      </w:r>
      <w:r w:rsidR="00C229FC">
        <w:rPr>
          <w:sz w:val="22"/>
          <w:szCs w:val="22"/>
          <w:lang w:eastAsia="zh-CN"/>
        </w:rPr>
        <w:t>u</w:t>
      </w:r>
      <w:r w:rsidR="006A2C01">
        <w:rPr>
          <w:sz w:val="22"/>
          <w:szCs w:val="22"/>
          <w:lang w:eastAsia="zh-CN"/>
        </w:rPr>
        <w:t>ntries for which is not possible</w:t>
      </w:r>
      <w:r w:rsidR="000A5E2C" w:rsidRPr="003E084F">
        <w:rPr>
          <w:sz w:val="22"/>
          <w:szCs w:val="22"/>
          <w:lang w:eastAsia="zh-CN"/>
        </w:rPr>
        <w:t xml:space="preserve"> to get coverage </w:t>
      </w:r>
      <w:r w:rsidR="00C229FC">
        <w:rPr>
          <w:sz w:val="22"/>
          <w:szCs w:val="22"/>
          <w:lang w:eastAsia="zh-CN"/>
        </w:rPr>
        <w:t>o</w:t>
      </w:r>
      <w:r w:rsidR="000A5E2C" w:rsidRPr="003E084F">
        <w:rPr>
          <w:sz w:val="22"/>
          <w:szCs w:val="22"/>
          <w:lang w:eastAsia="zh-CN"/>
        </w:rPr>
        <w:t>n the private reinsurance market</w:t>
      </w:r>
      <w:r w:rsidR="00B13BD2">
        <w:rPr>
          <w:sz w:val="22"/>
          <w:szCs w:val="22"/>
          <w:lang w:eastAsia="zh-CN"/>
        </w:rPr>
        <w:t xml:space="preserve"> (</w:t>
      </w:r>
      <w:r w:rsidR="00B13BD2" w:rsidRPr="00B13BD2">
        <w:rPr>
          <w:sz w:val="22"/>
          <w:szCs w:val="22"/>
          <w:lang w:eastAsia="zh-CN"/>
        </w:rPr>
        <w:t>risks declared as temporarily non-marketable by the European Commission)</w:t>
      </w:r>
      <w:r w:rsidR="00A521E0">
        <w:rPr>
          <w:sz w:val="22"/>
          <w:szCs w:val="22"/>
          <w:lang w:eastAsia="zh-CN"/>
        </w:rPr>
        <w:t>.</w:t>
      </w:r>
      <w:r w:rsidR="00B13BD2">
        <w:rPr>
          <w:sz w:val="22"/>
          <w:szCs w:val="22"/>
          <w:lang w:eastAsia="zh-CN"/>
        </w:rPr>
        <w:t xml:space="preserve"> </w:t>
      </w:r>
      <w:r w:rsidRPr="003E084F">
        <w:rPr>
          <w:sz w:val="22"/>
          <w:szCs w:val="22"/>
          <w:lang w:eastAsia="zh-CN"/>
        </w:rPr>
        <w:t xml:space="preserve">For risks taken, HBOR shall charge the insurers </w:t>
      </w:r>
      <w:r w:rsidR="00C1212F" w:rsidRPr="003E084F">
        <w:rPr>
          <w:sz w:val="22"/>
          <w:szCs w:val="22"/>
          <w:lang w:eastAsia="zh-CN"/>
        </w:rPr>
        <w:t>percentage of accrued insurance premium in accordance with the established level of reinsurer’s cover</w:t>
      </w:r>
      <w:r w:rsidR="00C229FC">
        <w:rPr>
          <w:sz w:val="22"/>
          <w:szCs w:val="22"/>
          <w:lang w:eastAsia="zh-CN"/>
        </w:rPr>
        <w:t>. Premium charged by HBOR is 30% hig</w:t>
      </w:r>
      <w:r w:rsidR="00727475">
        <w:rPr>
          <w:sz w:val="22"/>
          <w:szCs w:val="22"/>
          <w:lang w:eastAsia="zh-CN"/>
        </w:rPr>
        <w:t>h</w:t>
      </w:r>
      <w:r w:rsidR="00C229FC">
        <w:rPr>
          <w:sz w:val="22"/>
          <w:szCs w:val="22"/>
          <w:lang w:eastAsia="zh-CN"/>
        </w:rPr>
        <w:t xml:space="preserve">er than the premium for the </w:t>
      </w:r>
      <w:r w:rsidR="00C229FC" w:rsidRPr="00327EF1">
        <w:rPr>
          <w:sz w:val="22"/>
          <w:szCs w:val="22"/>
          <w:lang w:eastAsia="zh-CN"/>
        </w:rPr>
        <w:t>(original) cover provided by a private credit insurer</w:t>
      </w:r>
      <w:r w:rsidR="00C229FC">
        <w:rPr>
          <w:sz w:val="22"/>
          <w:szCs w:val="22"/>
          <w:lang w:eastAsia="zh-CN"/>
        </w:rPr>
        <w:t xml:space="preserve"> (as per the conditions </w:t>
      </w:r>
      <w:r w:rsidR="00C229FC" w:rsidRPr="009338C3">
        <w:rPr>
          <w:sz w:val="22"/>
          <w:szCs w:val="22"/>
          <w:lang w:eastAsia="zh-CN"/>
        </w:rPr>
        <w:t>prescribed by European Commission in point 2</w:t>
      </w:r>
      <w:r w:rsidR="00C229FC">
        <w:rPr>
          <w:sz w:val="22"/>
          <w:szCs w:val="22"/>
          <w:lang w:eastAsia="zh-CN"/>
        </w:rPr>
        <w:t>4</w:t>
      </w:r>
      <w:r w:rsidR="00C229FC" w:rsidRPr="009338C3">
        <w:rPr>
          <w:sz w:val="22"/>
          <w:szCs w:val="22"/>
          <w:lang w:eastAsia="zh-CN"/>
        </w:rPr>
        <w:t xml:space="preserve"> of the Communication</w:t>
      </w:r>
      <w:r w:rsidR="00C229FC">
        <w:rPr>
          <w:sz w:val="22"/>
          <w:szCs w:val="22"/>
          <w:lang w:eastAsia="zh-CN"/>
        </w:rPr>
        <w:t>)</w:t>
      </w:r>
      <w:r w:rsidR="00C229FC" w:rsidRPr="009338C3">
        <w:rPr>
          <w:sz w:val="22"/>
          <w:szCs w:val="22"/>
          <w:lang w:eastAsia="zh-CN"/>
        </w:rPr>
        <w:t>.</w:t>
      </w:r>
      <w:r w:rsidR="00C229FC">
        <w:rPr>
          <w:sz w:val="22"/>
          <w:szCs w:val="22"/>
          <w:lang w:eastAsia="zh-CN"/>
        </w:rPr>
        <w:t xml:space="preserve"> </w:t>
      </w:r>
      <w:r w:rsidR="00C229FC" w:rsidRPr="003E084F">
        <w:rPr>
          <w:sz w:val="22"/>
          <w:szCs w:val="22"/>
          <w:lang w:eastAsia="zh-CN"/>
        </w:rPr>
        <w:t xml:space="preserve">In each insured risk, HBOR can participate with the maximum share of </w:t>
      </w:r>
      <w:r w:rsidR="00C229FC">
        <w:rPr>
          <w:sz w:val="22"/>
          <w:szCs w:val="22"/>
          <w:lang w:eastAsia="zh-CN"/>
        </w:rPr>
        <w:t>90</w:t>
      </w:r>
      <w:r w:rsidR="00C229FC" w:rsidRPr="003E084F">
        <w:rPr>
          <w:sz w:val="22"/>
          <w:szCs w:val="22"/>
          <w:lang w:eastAsia="zh-CN"/>
        </w:rPr>
        <w:t>%, depending on the</w:t>
      </w:r>
      <w:r w:rsidR="00640BF9">
        <w:rPr>
          <w:sz w:val="22"/>
          <w:szCs w:val="22"/>
          <w:lang w:eastAsia="zh-CN"/>
        </w:rPr>
        <w:t xml:space="preserve"> quota share defined in insurance agreement. </w:t>
      </w:r>
    </w:p>
    <w:p w14:paraId="3319DED9" w14:textId="77777777" w:rsidR="00C1212F" w:rsidRDefault="00C1212F" w:rsidP="00A01EA6">
      <w:pPr>
        <w:rPr>
          <w:sz w:val="22"/>
          <w:szCs w:val="22"/>
          <w:lang w:eastAsia="zh-CN"/>
        </w:rPr>
      </w:pPr>
    </w:p>
    <w:bookmarkEnd w:id="0"/>
    <w:p w14:paraId="0DABF01D" w14:textId="77777777" w:rsidR="0088320B" w:rsidRDefault="0088320B" w:rsidP="00A01EA6">
      <w:pPr>
        <w:rPr>
          <w:sz w:val="22"/>
          <w:szCs w:val="22"/>
          <w:lang w:eastAsia="zh-CN"/>
        </w:rPr>
      </w:pPr>
    </w:p>
    <w:p w14:paraId="18273652" w14:textId="77777777" w:rsidR="00F530F7" w:rsidRPr="003E084F" w:rsidRDefault="00F530F7" w:rsidP="00F530F7">
      <w:pPr>
        <w:rPr>
          <w:b/>
          <w:sz w:val="22"/>
          <w:szCs w:val="22"/>
          <w:lang w:eastAsia="zh-CN"/>
        </w:rPr>
      </w:pPr>
      <w:r>
        <w:rPr>
          <w:b/>
          <w:sz w:val="22"/>
          <w:szCs w:val="22"/>
          <w:lang w:eastAsia="zh-CN"/>
        </w:rPr>
        <w:t>2</w:t>
      </w:r>
      <w:r w:rsidRPr="003E084F">
        <w:rPr>
          <w:b/>
          <w:sz w:val="22"/>
          <w:szCs w:val="22"/>
          <w:lang w:eastAsia="zh-CN"/>
        </w:rPr>
        <w:t>.</w:t>
      </w:r>
      <w:r>
        <w:rPr>
          <w:b/>
          <w:sz w:val="22"/>
          <w:szCs w:val="22"/>
          <w:lang w:eastAsia="zh-CN"/>
        </w:rPr>
        <w:t>4</w:t>
      </w:r>
      <w:r w:rsidRPr="003E084F">
        <w:rPr>
          <w:b/>
          <w:sz w:val="22"/>
          <w:szCs w:val="22"/>
          <w:lang w:eastAsia="zh-CN"/>
        </w:rPr>
        <w:t xml:space="preserve">. </w:t>
      </w:r>
      <w:r>
        <w:rPr>
          <w:b/>
          <w:sz w:val="22"/>
          <w:szCs w:val="22"/>
          <w:lang w:eastAsia="zh-CN"/>
        </w:rPr>
        <w:t>The i</w:t>
      </w:r>
      <w:r w:rsidRPr="00F530F7">
        <w:rPr>
          <w:b/>
          <w:sz w:val="22"/>
          <w:szCs w:val="22"/>
          <w:lang w:eastAsia="zh-CN"/>
        </w:rPr>
        <w:t xml:space="preserve">nsurance of direct deliveries of goods and services                                                    </w:t>
      </w:r>
    </w:p>
    <w:p w14:paraId="335BB198" w14:textId="672DA4D4" w:rsidR="00F530F7" w:rsidRPr="00EC1D48" w:rsidRDefault="00F530F7" w:rsidP="00F530F7">
      <w:pPr>
        <w:rPr>
          <w:sz w:val="22"/>
          <w:szCs w:val="22"/>
          <w:lang w:eastAsia="zh-CN"/>
        </w:rPr>
      </w:pPr>
      <w:r w:rsidRPr="004955D5">
        <w:rPr>
          <w:sz w:val="22"/>
          <w:szCs w:val="22"/>
          <w:lang w:eastAsia="zh-CN"/>
        </w:rPr>
        <w:t>By the Program it is possible to insure export receivables with a risk period of up to two years against temporarily non-marketable</w:t>
      </w:r>
      <w:r w:rsidR="00B67E5A">
        <w:rPr>
          <w:sz w:val="22"/>
          <w:szCs w:val="22"/>
          <w:lang w:eastAsia="zh-CN"/>
        </w:rPr>
        <w:t xml:space="preserve"> </w:t>
      </w:r>
      <w:r w:rsidRPr="004955D5">
        <w:rPr>
          <w:sz w:val="22"/>
          <w:szCs w:val="22"/>
          <w:lang w:eastAsia="zh-CN"/>
        </w:rPr>
        <w:t xml:space="preserve">commercial and political risks. </w:t>
      </w:r>
      <w:r w:rsidR="00EC1D48" w:rsidRPr="00EC1D48">
        <w:rPr>
          <w:sz w:val="22"/>
          <w:szCs w:val="22"/>
          <w:lang w:eastAsia="zh-CN"/>
        </w:rPr>
        <w:t xml:space="preserve">The most frequent users </w:t>
      </w:r>
      <w:r w:rsidR="00EC1D48">
        <w:rPr>
          <w:sz w:val="22"/>
          <w:szCs w:val="22"/>
          <w:lang w:eastAsia="zh-CN"/>
        </w:rPr>
        <w:t xml:space="preserve">of this Program </w:t>
      </w:r>
      <w:r w:rsidR="00EC1D48" w:rsidRPr="00EC1D48">
        <w:rPr>
          <w:sz w:val="22"/>
          <w:szCs w:val="22"/>
          <w:lang w:eastAsia="zh-CN"/>
        </w:rPr>
        <w:t>are exporters of capital goods and services</w:t>
      </w:r>
      <w:r w:rsidR="00EC1D48">
        <w:rPr>
          <w:sz w:val="22"/>
          <w:szCs w:val="22"/>
          <w:lang w:eastAsia="zh-CN"/>
        </w:rPr>
        <w:t xml:space="preserve"> (</w:t>
      </w:r>
      <w:r w:rsidR="00EC1D48" w:rsidRPr="00EC1D48">
        <w:rPr>
          <w:sz w:val="22"/>
          <w:szCs w:val="22"/>
          <w:lang w:eastAsia="zh-CN"/>
        </w:rPr>
        <w:t xml:space="preserve">exporters who conclude </w:t>
      </w:r>
      <w:r w:rsidR="00EC1D48">
        <w:rPr>
          <w:sz w:val="22"/>
          <w:szCs w:val="22"/>
          <w:lang w:eastAsia="zh-CN"/>
        </w:rPr>
        <w:t xml:space="preserve">higher value </w:t>
      </w:r>
      <w:r w:rsidR="00EC1D48" w:rsidRPr="00EC1D48">
        <w:rPr>
          <w:sz w:val="22"/>
          <w:szCs w:val="22"/>
          <w:lang w:eastAsia="zh-CN"/>
        </w:rPr>
        <w:t>contracts</w:t>
      </w:r>
      <w:r w:rsidR="00EC1D48">
        <w:rPr>
          <w:sz w:val="22"/>
          <w:szCs w:val="22"/>
          <w:lang w:eastAsia="zh-CN"/>
        </w:rPr>
        <w:t xml:space="preserve">) which cannot insure their export receivables with private insurers. </w:t>
      </w:r>
    </w:p>
    <w:p w14:paraId="5FB8EAD6" w14:textId="73DB1CC4" w:rsidR="00F530F7" w:rsidRDefault="00F530F7" w:rsidP="00F530F7">
      <w:pPr>
        <w:rPr>
          <w:sz w:val="22"/>
          <w:szCs w:val="22"/>
          <w:lang w:eastAsia="zh-CN"/>
        </w:rPr>
      </w:pPr>
      <w:r w:rsidRPr="004955D5">
        <w:rPr>
          <w:sz w:val="22"/>
          <w:szCs w:val="22"/>
          <w:lang w:eastAsia="zh-CN"/>
        </w:rPr>
        <w:lastRenderedPageBreak/>
        <w:t xml:space="preserve">In each insured risk, HBOR can participate with the maximum share of 90%, depending on the risk assessment. For risks taken, HBOR shall charge the exporters the insurance premium </w:t>
      </w:r>
      <w:r w:rsidR="0088320B" w:rsidRPr="004955D5">
        <w:rPr>
          <w:sz w:val="22"/>
          <w:szCs w:val="22"/>
          <w:lang w:eastAsia="zh-CN"/>
        </w:rPr>
        <w:t xml:space="preserve">which is calculated and charged one-off in advance by applying the premium rate on the amount of the sum insured. </w:t>
      </w:r>
      <w:r w:rsidR="005E3484" w:rsidRPr="00BE0988">
        <w:rPr>
          <w:sz w:val="22"/>
          <w:szCs w:val="22"/>
          <w:lang w:eastAsia="zh-CN"/>
        </w:rPr>
        <w:t>As of January 1, 2021, a new premium model has been introduced that regulates the lowest and highest premium rates for temporary non-market</w:t>
      </w:r>
      <w:r w:rsidR="005E3484">
        <w:rPr>
          <w:sz w:val="22"/>
          <w:szCs w:val="22"/>
          <w:lang w:eastAsia="zh-CN"/>
        </w:rPr>
        <w:t>able</w:t>
      </w:r>
      <w:r w:rsidR="005E3484" w:rsidRPr="00BE0988">
        <w:rPr>
          <w:sz w:val="22"/>
          <w:szCs w:val="22"/>
          <w:lang w:eastAsia="zh-CN"/>
        </w:rPr>
        <w:t xml:space="preserve"> risks</w:t>
      </w:r>
      <w:r w:rsidR="005E3484">
        <w:rPr>
          <w:sz w:val="22"/>
          <w:szCs w:val="22"/>
          <w:lang w:eastAsia="zh-CN"/>
        </w:rPr>
        <w:t xml:space="preserve">. </w:t>
      </w:r>
      <w:r w:rsidRPr="004955D5">
        <w:rPr>
          <w:sz w:val="22"/>
          <w:szCs w:val="22"/>
          <w:lang w:eastAsia="zh-CN"/>
        </w:rPr>
        <w:t>HBOR’s minimum premium rates are</w:t>
      </w:r>
      <w:r w:rsidR="005E3484">
        <w:rPr>
          <w:sz w:val="22"/>
          <w:szCs w:val="22"/>
          <w:lang w:eastAsia="zh-CN"/>
        </w:rPr>
        <w:t xml:space="preserve"> still</w:t>
      </w:r>
      <w:r w:rsidRPr="004955D5">
        <w:rPr>
          <w:sz w:val="22"/>
          <w:szCs w:val="22"/>
          <w:lang w:eastAsia="zh-CN"/>
        </w:rPr>
        <w:t xml:space="preserve"> higher than those prescribed by European Commission in point 23 of the Communication.</w:t>
      </w:r>
    </w:p>
    <w:p w14:paraId="37EB7EF8" w14:textId="6072BBFF" w:rsidR="005E3484" w:rsidRDefault="005E3484" w:rsidP="00F530F7">
      <w:pPr>
        <w:rPr>
          <w:sz w:val="22"/>
          <w:szCs w:val="22"/>
          <w:lang w:eastAsia="zh-CN"/>
        </w:rPr>
      </w:pPr>
    </w:p>
    <w:tbl>
      <w:tblPr>
        <w:tblStyle w:val="TableGridLight"/>
        <w:tblW w:w="9016" w:type="dxa"/>
        <w:tblInd w:w="0" w:type="dxa"/>
        <w:tblLook w:val="04A0" w:firstRow="1" w:lastRow="0" w:firstColumn="1" w:lastColumn="0" w:noHBand="0" w:noVBand="1"/>
      </w:tblPr>
      <w:tblGrid>
        <w:gridCol w:w="3256"/>
        <w:gridCol w:w="2880"/>
        <w:gridCol w:w="2880"/>
      </w:tblGrid>
      <w:tr w:rsidR="005E3484" w:rsidRPr="00245CDC" w14:paraId="59CDD92F" w14:textId="77777777" w:rsidTr="00690DFE">
        <w:trPr>
          <w:trHeight w:val="241"/>
        </w:trPr>
        <w:tc>
          <w:tcPr>
            <w:tcW w:w="325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hideMark/>
          </w:tcPr>
          <w:p w14:paraId="04329CDE" w14:textId="77777777" w:rsidR="005E3484" w:rsidRPr="00245CDC" w:rsidRDefault="005E3484" w:rsidP="00690DFE">
            <w:pPr>
              <w:spacing w:line="23" w:lineRule="atLeast"/>
              <w:jc w:val="left"/>
              <w:outlineLvl w:val="0"/>
              <w:rPr>
                <w:rFonts w:cs="Arial"/>
                <w:b/>
                <w:sz w:val="18"/>
                <w:szCs w:val="18"/>
              </w:rPr>
            </w:pPr>
            <w:r>
              <w:rPr>
                <w:rFonts w:cs="Arial"/>
                <w:b/>
                <w:sz w:val="18"/>
                <w:szCs w:val="18"/>
              </w:rPr>
              <w:t>Credit rating of foreign buyer</w:t>
            </w:r>
          </w:p>
        </w:tc>
        <w:tc>
          <w:tcPr>
            <w:tcW w:w="57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B89F8E" w14:textId="77777777" w:rsidR="005E3484" w:rsidRPr="00245CDC" w:rsidRDefault="005E3484" w:rsidP="00690DFE">
            <w:pPr>
              <w:spacing w:line="23" w:lineRule="atLeast"/>
              <w:jc w:val="center"/>
              <w:outlineLvl w:val="0"/>
              <w:rPr>
                <w:rFonts w:cs="Arial"/>
                <w:b/>
                <w:sz w:val="18"/>
                <w:szCs w:val="18"/>
              </w:rPr>
            </w:pPr>
            <w:r>
              <w:rPr>
                <w:rFonts w:cs="Arial"/>
                <w:b/>
                <w:sz w:val="18"/>
                <w:szCs w:val="18"/>
              </w:rPr>
              <w:t>P</w:t>
            </w:r>
            <w:r w:rsidRPr="00245CDC">
              <w:rPr>
                <w:rFonts w:cs="Arial"/>
                <w:b/>
                <w:sz w:val="18"/>
                <w:szCs w:val="18"/>
              </w:rPr>
              <w:t>remi</w:t>
            </w:r>
            <w:r>
              <w:rPr>
                <w:rFonts w:cs="Arial"/>
                <w:b/>
                <w:sz w:val="18"/>
                <w:szCs w:val="18"/>
              </w:rPr>
              <w:t>um rate</w:t>
            </w:r>
            <w:r w:rsidRPr="00245CDC">
              <w:rPr>
                <w:rFonts w:cs="Arial"/>
                <w:b/>
                <w:sz w:val="18"/>
                <w:szCs w:val="18"/>
              </w:rPr>
              <w:t xml:space="preserve"> (%</w:t>
            </w:r>
            <w:r>
              <w:rPr>
                <w:rFonts w:cs="Arial"/>
                <w:b/>
                <w:sz w:val="18"/>
                <w:szCs w:val="18"/>
              </w:rPr>
              <w:t>)</w:t>
            </w:r>
          </w:p>
        </w:tc>
      </w:tr>
      <w:tr w:rsidR="005E3484" w:rsidRPr="00245CDC" w14:paraId="62357556" w14:textId="77777777" w:rsidTr="00690DFE">
        <w:trPr>
          <w:trHeight w:val="241"/>
        </w:trPr>
        <w:tc>
          <w:tcPr>
            <w:tcW w:w="325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11CEAB" w14:textId="77777777" w:rsidR="005E3484" w:rsidRPr="00245CDC" w:rsidRDefault="005E3484" w:rsidP="00690DFE">
            <w:pPr>
              <w:spacing w:line="23" w:lineRule="atLeast"/>
              <w:jc w:val="left"/>
              <w:outlineLvl w:val="0"/>
              <w:rPr>
                <w:rFonts w:cs="Arial"/>
                <w:b/>
                <w:sz w:val="18"/>
                <w:szCs w:val="18"/>
              </w:rPr>
            </w:pP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3253DB" w14:textId="77777777" w:rsidR="005E3484" w:rsidRPr="00245CDC" w:rsidRDefault="005E3484" w:rsidP="00690DFE">
            <w:pPr>
              <w:spacing w:line="23" w:lineRule="atLeast"/>
              <w:jc w:val="center"/>
              <w:outlineLvl w:val="0"/>
              <w:rPr>
                <w:rFonts w:cs="Arial"/>
                <w:b/>
                <w:sz w:val="18"/>
                <w:szCs w:val="18"/>
              </w:rPr>
            </w:pPr>
            <w:r>
              <w:rPr>
                <w:rFonts w:cs="Arial"/>
                <w:b/>
                <w:sz w:val="18"/>
                <w:szCs w:val="18"/>
              </w:rPr>
              <w:t>Lowest</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C7DB50" w14:textId="77777777" w:rsidR="005E3484" w:rsidRPr="00245CDC" w:rsidRDefault="005E3484" w:rsidP="00690DFE">
            <w:pPr>
              <w:spacing w:line="23" w:lineRule="atLeast"/>
              <w:jc w:val="center"/>
              <w:outlineLvl w:val="0"/>
              <w:rPr>
                <w:rFonts w:cs="Arial"/>
                <w:b/>
                <w:sz w:val="18"/>
                <w:szCs w:val="18"/>
              </w:rPr>
            </w:pPr>
            <w:r>
              <w:rPr>
                <w:rFonts w:cs="Arial"/>
                <w:b/>
                <w:sz w:val="18"/>
                <w:szCs w:val="18"/>
              </w:rPr>
              <w:t>Highest</w:t>
            </w:r>
          </w:p>
        </w:tc>
      </w:tr>
      <w:tr w:rsidR="005E3484" w:rsidRPr="00245CDC" w14:paraId="77B9BF4C" w14:textId="77777777" w:rsidTr="00690DFE">
        <w:trPr>
          <w:trHeight w:val="241"/>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E345F3" w14:textId="77777777" w:rsidR="005E3484" w:rsidRPr="00245CDC" w:rsidRDefault="005E3484" w:rsidP="00690DFE">
            <w:pPr>
              <w:spacing w:line="23" w:lineRule="atLeast"/>
              <w:jc w:val="left"/>
              <w:outlineLvl w:val="0"/>
              <w:rPr>
                <w:rFonts w:cs="Arial"/>
                <w:sz w:val="18"/>
                <w:szCs w:val="18"/>
              </w:rPr>
            </w:pPr>
            <w:r>
              <w:rPr>
                <w:rFonts w:cs="Arial"/>
                <w:sz w:val="18"/>
                <w:szCs w:val="18"/>
              </w:rPr>
              <w:t>Excellent</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FF4FB9" w14:textId="77777777" w:rsidR="005E3484" w:rsidRPr="00245CDC" w:rsidRDefault="005E3484" w:rsidP="00690DFE">
            <w:pPr>
              <w:spacing w:line="23" w:lineRule="atLeast"/>
              <w:jc w:val="center"/>
              <w:outlineLvl w:val="0"/>
              <w:rPr>
                <w:rFonts w:cs="Arial"/>
                <w:sz w:val="18"/>
                <w:szCs w:val="18"/>
              </w:rPr>
            </w:pPr>
            <w:r w:rsidRPr="00245CDC">
              <w:rPr>
                <w:rFonts w:cs="Arial"/>
                <w:sz w:val="18"/>
                <w:szCs w:val="18"/>
              </w:rPr>
              <w:t>0,2</w:t>
            </w:r>
            <w:r>
              <w:rPr>
                <w:rFonts w:cs="Arial"/>
                <w:sz w:val="18"/>
                <w:szCs w:val="18"/>
              </w:rPr>
              <w:t>0</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A23AE1" w14:textId="77777777" w:rsidR="005E3484" w:rsidRPr="00245CDC" w:rsidRDefault="005E3484" w:rsidP="00690DFE">
            <w:pPr>
              <w:spacing w:line="23" w:lineRule="atLeast"/>
              <w:jc w:val="center"/>
              <w:outlineLvl w:val="0"/>
              <w:rPr>
                <w:rFonts w:cs="Arial"/>
                <w:sz w:val="18"/>
                <w:szCs w:val="18"/>
              </w:rPr>
            </w:pPr>
            <w:r w:rsidRPr="00245CDC">
              <w:rPr>
                <w:rFonts w:cs="Arial"/>
                <w:sz w:val="18"/>
                <w:szCs w:val="18"/>
              </w:rPr>
              <w:t>0,</w:t>
            </w:r>
            <w:r>
              <w:rPr>
                <w:rFonts w:cs="Arial"/>
                <w:sz w:val="18"/>
                <w:szCs w:val="18"/>
              </w:rPr>
              <w:t>50</w:t>
            </w:r>
          </w:p>
        </w:tc>
      </w:tr>
      <w:tr w:rsidR="005E3484" w:rsidRPr="00245CDC" w14:paraId="323D6726" w14:textId="77777777" w:rsidTr="00690DFE">
        <w:trPr>
          <w:trHeight w:val="241"/>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ECC6AA" w14:textId="77777777" w:rsidR="005E3484" w:rsidRPr="00245CDC" w:rsidRDefault="005E3484" w:rsidP="00690DFE">
            <w:pPr>
              <w:spacing w:line="23" w:lineRule="atLeast"/>
              <w:jc w:val="left"/>
              <w:outlineLvl w:val="0"/>
              <w:rPr>
                <w:rFonts w:cs="Arial"/>
                <w:sz w:val="18"/>
                <w:szCs w:val="18"/>
              </w:rPr>
            </w:pPr>
            <w:r>
              <w:rPr>
                <w:rFonts w:cs="Arial"/>
                <w:sz w:val="18"/>
                <w:szCs w:val="18"/>
              </w:rPr>
              <w:t>Good</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E2B92" w14:textId="77777777" w:rsidR="005E3484" w:rsidRPr="00245CDC" w:rsidRDefault="005E3484" w:rsidP="00690DFE">
            <w:pPr>
              <w:spacing w:line="23" w:lineRule="atLeast"/>
              <w:jc w:val="center"/>
              <w:outlineLvl w:val="0"/>
              <w:rPr>
                <w:rFonts w:cs="Arial"/>
                <w:sz w:val="18"/>
                <w:szCs w:val="18"/>
              </w:rPr>
            </w:pPr>
            <w:r w:rsidRPr="00245CDC">
              <w:rPr>
                <w:rFonts w:cs="Arial"/>
                <w:sz w:val="18"/>
                <w:szCs w:val="18"/>
              </w:rPr>
              <w:t>0,4</w:t>
            </w:r>
            <w:r>
              <w:rPr>
                <w:rFonts w:cs="Arial"/>
                <w:sz w:val="18"/>
                <w:szCs w:val="18"/>
              </w:rPr>
              <w:t>1</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2A4247" w14:textId="77777777" w:rsidR="005E3484" w:rsidRPr="00245CDC" w:rsidRDefault="005E3484" w:rsidP="00690DFE">
            <w:pPr>
              <w:spacing w:line="23" w:lineRule="atLeast"/>
              <w:jc w:val="center"/>
              <w:outlineLvl w:val="0"/>
              <w:rPr>
                <w:rFonts w:cs="Arial"/>
                <w:sz w:val="18"/>
                <w:szCs w:val="18"/>
              </w:rPr>
            </w:pPr>
            <w:r w:rsidRPr="00245CDC">
              <w:rPr>
                <w:rFonts w:cs="Arial"/>
                <w:sz w:val="18"/>
                <w:szCs w:val="18"/>
              </w:rPr>
              <w:t>0,</w:t>
            </w:r>
            <w:r>
              <w:rPr>
                <w:rFonts w:cs="Arial"/>
                <w:sz w:val="18"/>
                <w:szCs w:val="18"/>
              </w:rPr>
              <w:t>69</w:t>
            </w:r>
          </w:p>
        </w:tc>
      </w:tr>
      <w:tr w:rsidR="005E3484" w:rsidRPr="00245CDC" w14:paraId="22AEF2A6" w14:textId="77777777" w:rsidTr="00690DFE">
        <w:trPr>
          <w:trHeight w:val="241"/>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AAEFF9" w14:textId="77777777" w:rsidR="005E3484" w:rsidRPr="00245CDC" w:rsidRDefault="005E3484" w:rsidP="00690DFE">
            <w:pPr>
              <w:spacing w:line="23" w:lineRule="atLeast"/>
              <w:jc w:val="left"/>
              <w:outlineLvl w:val="0"/>
              <w:rPr>
                <w:rFonts w:cs="Arial"/>
                <w:sz w:val="18"/>
                <w:szCs w:val="18"/>
              </w:rPr>
            </w:pPr>
            <w:r w:rsidRPr="00BE0988">
              <w:rPr>
                <w:rFonts w:cs="Arial"/>
                <w:sz w:val="18"/>
                <w:szCs w:val="18"/>
              </w:rPr>
              <w:t>Satisfactory</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C5151F" w14:textId="77777777" w:rsidR="005E3484" w:rsidRPr="00245CDC" w:rsidRDefault="005E3484" w:rsidP="00690DFE">
            <w:pPr>
              <w:spacing w:line="23" w:lineRule="atLeast"/>
              <w:jc w:val="center"/>
              <w:outlineLvl w:val="0"/>
              <w:rPr>
                <w:rFonts w:cs="Arial"/>
                <w:sz w:val="18"/>
                <w:szCs w:val="18"/>
              </w:rPr>
            </w:pPr>
            <w:r w:rsidRPr="00245CDC">
              <w:rPr>
                <w:rFonts w:cs="Arial"/>
                <w:sz w:val="18"/>
                <w:szCs w:val="18"/>
              </w:rPr>
              <w:t>0,9</w:t>
            </w:r>
            <w:r>
              <w:rPr>
                <w:rFonts w:cs="Arial"/>
                <w:sz w:val="18"/>
                <w:szCs w:val="18"/>
              </w:rPr>
              <w:t>1</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C8353B" w14:textId="77777777" w:rsidR="005E3484" w:rsidRPr="00245CDC" w:rsidRDefault="005E3484" w:rsidP="00690DFE">
            <w:pPr>
              <w:spacing w:line="23" w:lineRule="atLeast"/>
              <w:jc w:val="center"/>
              <w:outlineLvl w:val="0"/>
              <w:rPr>
                <w:rFonts w:cs="Arial"/>
                <w:sz w:val="18"/>
                <w:szCs w:val="18"/>
              </w:rPr>
            </w:pPr>
            <w:r w:rsidRPr="00245CDC">
              <w:rPr>
                <w:rFonts w:cs="Arial"/>
                <w:sz w:val="18"/>
                <w:szCs w:val="18"/>
              </w:rPr>
              <w:t>1,</w:t>
            </w:r>
            <w:r>
              <w:rPr>
                <w:rFonts w:cs="Arial"/>
                <w:sz w:val="18"/>
                <w:szCs w:val="18"/>
              </w:rPr>
              <w:t>17</w:t>
            </w:r>
          </w:p>
        </w:tc>
      </w:tr>
      <w:tr w:rsidR="005E3484" w:rsidRPr="00245CDC" w14:paraId="718678B1" w14:textId="77777777" w:rsidTr="00690DFE">
        <w:trPr>
          <w:trHeight w:val="241"/>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9F9875" w14:textId="77777777" w:rsidR="005E3484" w:rsidRPr="00245CDC" w:rsidRDefault="005E3484" w:rsidP="00690DFE">
            <w:pPr>
              <w:spacing w:line="23" w:lineRule="atLeast"/>
              <w:jc w:val="left"/>
              <w:outlineLvl w:val="0"/>
              <w:rPr>
                <w:rFonts w:cs="Arial"/>
                <w:sz w:val="18"/>
                <w:szCs w:val="18"/>
              </w:rPr>
            </w:pPr>
            <w:r>
              <w:rPr>
                <w:rFonts w:cs="Arial"/>
                <w:sz w:val="18"/>
                <w:szCs w:val="18"/>
              </w:rPr>
              <w:t>Weak</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A8854B" w14:textId="77777777" w:rsidR="005E3484" w:rsidRPr="00245CDC" w:rsidRDefault="005E3484" w:rsidP="00690DFE">
            <w:pPr>
              <w:spacing w:line="23" w:lineRule="atLeast"/>
              <w:jc w:val="center"/>
              <w:outlineLvl w:val="0"/>
              <w:rPr>
                <w:rFonts w:cs="Arial"/>
                <w:sz w:val="18"/>
                <w:szCs w:val="18"/>
              </w:rPr>
            </w:pPr>
            <w:r w:rsidRPr="00245CDC">
              <w:rPr>
                <w:rFonts w:cs="Arial"/>
                <w:sz w:val="18"/>
                <w:szCs w:val="18"/>
              </w:rPr>
              <w:t>2,3</w:t>
            </w:r>
            <w:r>
              <w:rPr>
                <w:rFonts w:cs="Arial"/>
                <w:sz w:val="18"/>
                <w:szCs w:val="18"/>
              </w:rPr>
              <w:t>1</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0E37FB" w14:textId="77777777" w:rsidR="005E3484" w:rsidRPr="00245CDC" w:rsidRDefault="005E3484" w:rsidP="00690DFE">
            <w:pPr>
              <w:spacing w:line="23" w:lineRule="atLeast"/>
              <w:jc w:val="center"/>
              <w:outlineLvl w:val="0"/>
              <w:rPr>
                <w:rFonts w:cs="Arial"/>
                <w:sz w:val="18"/>
                <w:szCs w:val="18"/>
              </w:rPr>
            </w:pPr>
            <w:r w:rsidRPr="00245CDC">
              <w:rPr>
                <w:rFonts w:cs="Arial"/>
                <w:sz w:val="18"/>
                <w:szCs w:val="18"/>
              </w:rPr>
              <w:t>2,</w:t>
            </w:r>
            <w:r>
              <w:rPr>
                <w:rFonts w:cs="Arial"/>
                <w:sz w:val="18"/>
                <w:szCs w:val="18"/>
              </w:rPr>
              <w:t>6</w:t>
            </w:r>
            <w:r w:rsidRPr="00245CDC">
              <w:rPr>
                <w:rFonts w:cs="Arial"/>
                <w:sz w:val="18"/>
                <w:szCs w:val="18"/>
              </w:rPr>
              <w:t>1</w:t>
            </w:r>
          </w:p>
        </w:tc>
      </w:tr>
    </w:tbl>
    <w:p w14:paraId="5415ECAE" w14:textId="77777777" w:rsidR="00F530F7" w:rsidRPr="004955D5" w:rsidRDefault="00F530F7" w:rsidP="00F530F7">
      <w:pPr>
        <w:autoSpaceDE w:val="0"/>
        <w:autoSpaceDN w:val="0"/>
        <w:adjustRightInd w:val="0"/>
        <w:jc w:val="left"/>
        <w:rPr>
          <w:sz w:val="22"/>
          <w:szCs w:val="22"/>
          <w:lang w:eastAsia="zh-CN"/>
        </w:rPr>
      </w:pPr>
    </w:p>
    <w:p w14:paraId="6825C05A" w14:textId="49BE3DA8" w:rsidR="00F530F7" w:rsidRPr="004955D5" w:rsidRDefault="00F530F7" w:rsidP="00F530F7">
      <w:pPr>
        <w:rPr>
          <w:sz w:val="22"/>
          <w:szCs w:val="22"/>
          <w:lang w:eastAsia="zh-CN"/>
        </w:rPr>
      </w:pPr>
      <w:r w:rsidRPr="004955D5">
        <w:rPr>
          <w:sz w:val="22"/>
          <w:szCs w:val="22"/>
          <w:lang w:eastAsia="zh-CN"/>
        </w:rPr>
        <w:t xml:space="preserve">HBOR under existing insurance program charges a fee for processing the application for insurance, in accordance with the valid decision on compensation for services performed by HBOR, and the exporter as an applicant for insurance, additionally pays cost for </w:t>
      </w:r>
      <w:r w:rsidR="008025AD">
        <w:rPr>
          <w:sz w:val="22"/>
          <w:szCs w:val="22"/>
          <w:lang w:eastAsia="zh-CN"/>
        </w:rPr>
        <w:t>Credit</w:t>
      </w:r>
      <w:r w:rsidRPr="004955D5">
        <w:rPr>
          <w:sz w:val="22"/>
          <w:szCs w:val="22"/>
          <w:lang w:eastAsia="zh-CN"/>
        </w:rPr>
        <w:t xml:space="preserve"> report. </w:t>
      </w:r>
    </w:p>
    <w:p w14:paraId="0B51212D" w14:textId="77777777" w:rsidR="00F530F7" w:rsidRPr="004955D5" w:rsidRDefault="00F530F7" w:rsidP="00F530F7">
      <w:pPr>
        <w:autoSpaceDE w:val="0"/>
        <w:autoSpaceDN w:val="0"/>
        <w:adjustRightInd w:val="0"/>
        <w:rPr>
          <w:sz w:val="22"/>
          <w:szCs w:val="22"/>
          <w:lang w:eastAsia="zh-CN"/>
        </w:rPr>
      </w:pPr>
    </w:p>
    <w:p w14:paraId="42728514" w14:textId="4B844D39" w:rsidR="00F530F7" w:rsidRPr="003E084F" w:rsidRDefault="00F530F7" w:rsidP="00F530F7">
      <w:pPr>
        <w:autoSpaceDE w:val="0"/>
        <w:autoSpaceDN w:val="0"/>
        <w:adjustRightInd w:val="0"/>
        <w:rPr>
          <w:sz w:val="22"/>
          <w:szCs w:val="22"/>
          <w:lang w:eastAsia="zh-CN"/>
        </w:rPr>
      </w:pPr>
      <w:r w:rsidRPr="004955D5">
        <w:rPr>
          <w:sz w:val="22"/>
          <w:szCs w:val="22"/>
          <w:lang w:eastAsia="zh-CN"/>
        </w:rPr>
        <w:t>Credit analysis and classification of the buyer are based on the buyer’s country, business climate in the country, payment experience as regard the buyer, and financial information of the buyer. HBOR will apply its standard risk assessment and underwriting procedure, when assessing each transaction to be covered.</w:t>
      </w:r>
    </w:p>
    <w:p w14:paraId="3E681FEA" w14:textId="77777777" w:rsidR="009016DE" w:rsidRDefault="009016DE" w:rsidP="00A01EA6">
      <w:pPr>
        <w:rPr>
          <w:sz w:val="22"/>
          <w:szCs w:val="22"/>
          <w:lang w:eastAsia="zh-CN"/>
        </w:rPr>
      </w:pPr>
    </w:p>
    <w:p w14:paraId="3B9D3112" w14:textId="77777777" w:rsidR="00F530F7" w:rsidRPr="003E084F" w:rsidRDefault="00F530F7" w:rsidP="00A01EA6">
      <w:pPr>
        <w:rPr>
          <w:sz w:val="22"/>
          <w:szCs w:val="22"/>
          <w:lang w:eastAsia="zh-CN"/>
        </w:rPr>
      </w:pPr>
    </w:p>
    <w:p w14:paraId="187049F2" w14:textId="799CABEE" w:rsidR="00C1212F" w:rsidRPr="00180460" w:rsidRDefault="008D67AB" w:rsidP="00A01EA6">
      <w:pPr>
        <w:rPr>
          <w:rFonts w:cs="Arial"/>
          <w:b/>
          <w:sz w:val="22"/>
          <w:szCs w:val="22"/>
          <w:u w:val="single"/>
        </w:rPr>
      </w:pPr>
      <w:r>
        <w:rPr>
          <w:rFonts w:cs="Arial"/>
          <w:b/>
          <w:sz w:val="22"/>
          <w:szCs w:val="22"/>
          <w:u w:val="single"/>
        </w:rPr>
        <w:t>3</w:t>
      </w:r>
      <w:r w:rsidR="00253A2D" w:rsidRPr="003E084F">
        <w:rPr>
          <w:rFonts w:cs="Arial"/>
          <w:b/>
          <w:sz w:val="22"/>
          <w:szCs w:val="22"/>
          <w:u w:val="single"/>
        </w:rPr>
        <w:t>.</w:t>
      </w:r>
      <w:r w:rsidR="00C1212F" w:rsidRPr="003E084F">
        <w:rPr>
          <w:rFonts w:cs="Arial"/>
          <w:b/>
          <w:sz w:val="22"/>
          <w:szCs w:val="22"/>
          <w:u w:val="single"/>
        </w:rPr>
        <w:t xml:space="preserve"> Data </w:t>
      </w:r>
      <w:r w:rsidR="00253A2D" w:rsidRPr="003E084F">
        <w:rPr>
          <w:rFonts w:cs="Arial"/>
          <w:b/>
          <w:sz w:val="22"/>
          <w:szCs w:val="22"/>
          <w:u w:val="single"/>
        </w:rPr>
        <w:t>-</w:t>
      </w:r>
      <w:r w:rsidR="00C1212F" w:rsidRPr="003E084F">
        <w:rPr>
          <w:rFonts w:cs="Arial"/>
          <w:b/>
          <w:sz w:val="22"/>
          <w:szCs w:val="22"/>
          <w:u w:val="single"/>
        </w:rPr>
        <w:t xml:space="preserve"> coverage of temporar</w:t>
      </w:r>
      <w:r w:rsidR="00874ED9" w:rsidRPr="003E084F">
        <w:rPr>
          <w:rFonts w:cs="Arial"/>
          <w:b/>
          <w:sz w:val="22"/>
          <w:szCs w:val="22"/>
          <w:u w:val="single"/>
        </w:rPr>
        <w:t xml:space="preserve">ily non-marketable risks </w:t>
      </w:r>
      <w:r w:rsidR="00874ED9" w:rsidRPr="00180460">
        <w:rPr>
          <w:rFonts w:cs="Arial"/>
          <w:b/>
          <w:sz w:val="22"/>
          <w:szCs w:val="22"/>
          <w:u w:val="single"/>
        </w:rPr>
        <w:t xml:space="preserve">in </w:t>
      </w:r>
      <w:r w:rsidR="00874ED9" w:rsidRPr="005B078E">
        <w:rPr>
          <w:rFonts w:cs="Arial"/>
          <w:b/>
          <w:sz w:val="22"/>
          <w:szCs w:val="22"/>
          <w:u w:val="single"/>
        </w:rPr>
        <w:t>20</w:t>
      </w:r>
      <w:r w:rsidR="005B078E" w:rsidRPr="005B078E">
        <w:rPr>
          <w:rFonts w:cs="Arial"/>
          <w:b/>
          <w:sz w:val="22"/>
          <w:szCs w:val="22"/>
          <w:u w:val="single"/>
        </w:rPr>
        <w:t>20</w:t>
      </w:r>
      <w:r w:rsidR="00C1212F" w:rsidRPr="005B078E">
        <w:rPr>
          <w:rFonts w:cs="Arial"/>
          <w:b/>
          <w:sz w:val="22"/>
          <w:szCs w:val="22"/>
          <w:u w:val="single"/>
        </w:rPr>
        <w:t>.</w:t>
      </w:r>
    </w:p>
    <w:p w14:paraId="4FBD218F" w14:textId="3CDBADC9" w:rsidR="002C05D9" w:rsidRPr="00AB4450" w:rsidRDefault="00C1212F" w:rsidP="00A01EA6">
      <w:pPr>
        <w:rPr>
          <w:rFonts w:cs="Arial"/>
        </w:rPr>
      </w:pPr>
      <w:r w:rsidRPr="00180460">
        <w:rPr>
          <w:rFonts w:cs="Arial"/>
        </w:rPr>
        <w:t xml:space="preserve"> </w:t>
      </w:r>
    </w:p>
    <w:tbl>
      <w:tblPr>
        <w:tblW w:w="9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2"/>
        <w:gridCol w:w="2268"/>
        <w:gridCol w:w="1834"/>
      </w:tblGrid>
      <w:tr w:rsidR="00180460" w:rsidRPr="00E24FB3" w14:paraId="081CF2E7" w14:textId="77777777" w:rsidTr="00665026">
        <w:tc>
          <w:tcPr>
            <w:tcW w:w="5132" w:type="dxa"/>
            <w:tcMar>
              <w:top w:w="0" w:type="dxa"/>
              <w:left w:w="108" w:type="dxa"/>
              <w:bottom w:w="0" w:type="dxa"/>
              <w:right w:w="108" w:type="dxa"/>
            </w:tcMar>
            <w:vAlign w:val="center"/>
          </w:tcPr>
          <w:p w14:paraId="25BD38BA" w14:textId="77777777" w:rsidR="003076DD" w:rsidRPr="00E24FB3" w:rsidRDefault="003076DD" w:rsidP="00944EFD">
            <w:pPr>
              <w:jc w:val="center"/>
              <w:rPr>
                <w:sz w:val="22"/>
                <w:szCs w:val="22"/>
              </w:rPr>
            </w:pPr>
            <w:r w:rsidRPr="00E24FB3">
              <w:rPr>
                <w:b/>
                <w:bCs/>
                <w:sz w:val="22"/>
                <w:szCs w:val="22"/>
              </w:rPr>
              <w:t>SHORT – TERM EXPORT CREDIT INSURANCE (temporarily non – marketable risks)</w:t>
            </w:r>
          </w:p>
        </w:tc>
        <w:tc>
          <w:tcPr>
            <w:tcW w:w="2268" w:type="dxa"/>
            <w:tcMar>
              <w:top w:w="0" w:type="dxa"/>
              <w:left w:w="108" w:type="dxa"/>
              <w:bottom w:w="0" w:type="dxa"/>
              <w:right w:w="108" w:type="dxa"/>
            </w:tcMar>
            <w:vAlign w:val="center"/>
          </w:tcPr>
          <w:p w14:paraId="6735FFE0" w14:textId="77777777" w:rsidR="003076DD" w:rsidRPr="00E24FB3" w:rsidRDefault="000019A5" w:rsidP="00944EFD">
            <w:pPr>
              <w:jc w:val="center"/>
              <w:rPr>
                <w:sz w:val="22"/>
                <w:szCs w:val="22"/>
              </w:rPr>
            </w:pPr>
            <w:r w:rsidRPr="00E24FB3">
              <w:rPr>
                <w:sz w:val="22"/>
                <w:szCs w:val="22"/>
              </w:rPr>
              <w:t>In HRK</w:t>
            </w:r>
          </w:p>
        </w:tc>
        <w:tc>
          <w:tcPr>
            <w:tcW w:w="1834" w:type="dxa"/>
            <w:vAlign w:val="center"/>
          </w:tcPr>
          <w:p w14:paraId="1DA61915" w14:textId="77777777" w:rsidR="003076DD" w:rsidRPr="00E24FB3" w:rsidRDefault="003076DD" w:rsidP="00944EFD">
            <w:pPr>
              <w:jc w:val="center"/>
              <w:rPr>
                <w:rFonts w:eastAsiaTheme="minorHAnsi"/>
                <w:sz w:val="22"/>
                <w:szCs w:val="22"/>
              </w:rPr>
            </w:pPr>
            <w:r w:rsidRPr="00E24FB3">
              <w:rPr>
                <w:rFonts w:eastAsiaTheme="minorHAnsi"/>
                <w:sz w:val="22"/>
                <w:szCs w:val="22"/>
              </w:rPr>
              <w:t>In EUR*</w:t>
            </w:r>
          </w:p>
        </w:tc>
      </w:tr>
      <w:tr w:rsidR="009D5CA8" w:rsidRPr="00E24FB3" w14:paraId="64D5675B" w14:textId="77777777" w:rsidTr="00B617B5">
        <w:tc>
          <w:tcPr>
            <w:tcW w:w="5132" w:type="dxa"/>
            <w:tcMar>
              <w:top w:w="0" w:type="dxa"/>
              <w:left w:w="108" w:type="dxa"/>
              <w:bottom w:w="0" w:type="dxa"/>
              <w:right w:w="108" w:type="dxa"/>
            </w:tcMar>
            <w:hideMark/>
          </w:tcPr>
          <w:p w14:paraId="599F4B34" w14:textId="77777777" w:rsidR="009D5CA8" w:rsidRPr="00E24FB3" w:rsidRDefault="009D5CA8" w:rsidP="009D5CA8">
            <w:pPr>
              <w:rPr>
                <w:rFonts w:eastAsiaTheme="minorHAnsi"/>
                <w:sz w:val="22"/>
                <w:szCs w:val="22"/>
              </w:rPr>
            </w:pPr>
            <w:r w:rsidRPr="00E24FB3">
              <w:rPr>
                <w:sz w:val="22"/>
                <w:szCs w:val="22"/>
              </w:rPr>
              <w:t>Insured business</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14E813" w14:textId="6FE8019F" w:rsidR="009D5CA8" w:rsidRDefault="009D5CA8" w:rsidP="009D5CA8">
            <w:pPr>
              <w:jc w:val="right"/>
              <w:rPr>
                <w:color w:val="000000"/>
                <w:sz w:val="22"/>
                <w:szCs w:val="22"/>
                <w:lang w:val="hr-HR" w:eastAsia="hr-HR"/>
              </w:rPr>
            </w:pPr>
            <w:r>
              <w:rPr>
                <w:color w:val="000000"/>
                <w:sz w:val="22"/>
                <w:szCs w:val="22"/>
              </w:rPr>
              <w:t>141.444.287</w:t>
            </w:r>
          </w:p>
        </w:tc>
        <w:tc>
          <w:tcPr>
            <w:tcW w:w="1834" w:type="dxa"/>
            <w:tcBorders>
              <w:top w:val="nil"/>
              <w:left w:val="nil"/>
              <w:bottom w:val="single" w:sz="8" w:space="0" w:color="auto"/>
              <w:right w:val="single" w:sz="8" w:space="0" w:color="auto"/>
            </w:tcBorders>
            <w:shd w:val="clear" w:color="auto" w:fill="auto"/>
            <w:vAlign w:val="center"/>
          </w:tcPr>
          <w:p w14:paraId="7018071A" w14:textId="5309AE11" w:rsidR="009D5CA8" w:rsidRDefault="009D5CA8" w:rsidP="009D5CA8">
            <w:pPr>
              <w:jc w:val="right"/>
              <w:rPr>
                <w:color w:val="000000"/>
                <w:sz w:val="22"/>
                <w:szCs w:val="22"/>
              </w:rPr>
            </w:pPr>
            <w:r>
              <w:rPr>
                <w:color w:val="000000"/>
                <w:sz w:val="22"/>
                <w:szCs w:val="22"/>
              </w:rPr>
              <w:t>18.772.883</w:t>
            </w:r>
          </w:p>
        </w:tc>
      </w:tr>
      <w:tr w:rsidR="009D5CA8" w:rsidRPr="00E24FB3" w14:paraId="180C0EBF" w14:textId="77777777" w:rsidTr="00B617B5">
        <w:tc>
          <w:tcPr>
            <w:tcW w:w="5132" w:type="dxa"/>
            <w:tcMar>
              <w:top w:w="0" w:type="dxa"/>
              <w:left w:w="108" w:type="dxa"/>
              <w:bottom w:w="0" w:type="dxa"/>
              <w:right w:w="108" w:type="dxa"/>
            </w:tcMar>
            <w:hideMark/>
          </w:tcPr>
          <w:p w14:paraId="69EAF216" w14:textId="77777777" w:rsidR="009D5CA8" w:rsidRPr="00E24FB3" w:rsidRDefault="009D5CA8" w:rsidP="009D5CA8">
            <w:pPr>
              <w:rPr>
                <w:rFonts w:eastAsiaTheme="minorHAnsi"/>
                <w:sz w:val="22"/>
                <w:szCs w:val="22"/>
              </w:rPr>
            </w:pPr>
            <w:r w:rsidRPr="00E24FB3">
              <w:rPr>
                <w:sz w:val="22"/>
                <w:szCs w:val="22"/>
              </w:rPr>
              <w:t xml:space="preserve">Insured turnover </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5622A3" w14:textId="63EA2AD6" w:rsidR="009D5CA8" w:rsidRDefault="009D5CA8" w:rsidP="009D5CA8">
            <w:pPr>
              <w:jc w:val="right"/>
              <w:rPr>
                <w:color w:val="000000"/>
                <w:sz w:val="22"/>
                <w:szCs w:val="22"/>
              </w:rPr>
            </w:pPr>
            <w:r>
              <w:rPr>
                <w:color w:val="000000"/>
                <w:sz w:val="22"/>
                <w:szCs w:val="22"/>
              </w:rPr>
              <w:t>349.013.778</w:t>
            </w:r>
          </w:p>
        </w:tc>
        <w:tc>
          <w:tcPr>
            <w:tcW w:w="1834" w:type="dxa"/>
            <w:tcBorders>
              <w:top w:val="nil"/>
              <w:left w:val="nil"/>
              <w:bottom w:val="single" w:sz="8" w:space="0" w:color="auto"/>
              <w:right w:val="single" w:sz="8" w:space="0" w:color="auto"/>
            </w:tcBorders>
            <w:shd w:val="clear" w:color="auto" w:fill="auto"/>
            <w:vAlign w:val="center"/>
          </w:tcPr>
          <w:p w14:paraId="047BAF98" w14:textId="53B42AF1" w:rsidR="009D5CA8" w:rsidRDefault="009D5CA8" w:rsidP="009D5CA8">
            <w:pPr>
              <w:jc w:val="right"/>
              <w:rPr>
                <w:color w:val="000000"/>
                <w:sz w:val="22"/>
                <w:szCs w:val="22"/>
              </w:rPr>
            </w:pPr>
            <w:r>
              <w:rPr>
                <w:color w:val="000000"/>
                <w:sz w:val="22"/>
                <w:szCs w:val="22"/>
              </w:rPr>
              <w:t>46.322.089</w:t>
            </w:r>
          </w:p>
        </w:tc>
      </w:tr>
      <w:tr w:rsidR="009D5CA8" w:rsidRPr="00E24FB3" w14:paraId="37B9E22F" w14:textId="77777777" w:rsidTr="00B617B5">
        <w:tc>
          <w:tcPr>
            <w:tcW w:w="5132" w:type="dxa"/>
            <w:tcMar>
              <w:top w:w="0" w:type="dxa"/>
              <w:left w:w="108" w:type="dxa"/>
              <w:bottom w:w="0" w:type="dxa"/>
              <w:right w:w="108" w:type="dxa"/>
            </w:tcMar>
            <w:hideMark/>
          </w:tcPr>
          <w:p w14:paraId="219E7587" w14:textId="77777777" w:rsidR="009D5CA8" w:rsidRPr="00E24FB3" w:rsidRDefault="009D5CA8" w:rsidP="009D5CA8">
            <w:pPr>
              <w:rPr>
                <w:rFonts w:eastAsiaTheme="minorHAnsi"/>
                <w:sz w:val="22"/>
                <w:szCs w:val="22"/>
              </w:rPr>
            </w:pPr>
            <w:r w:rsidRPr="00E24FB3">
              <w:rPr>
                <w:sz w:val="22"/>
                <w:szCs w:val="22"/>
              </w:rPr>
              <w:t>Claims paid</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0F821A" w14:textId="518528D2" w:rsidR="009D5CA8" w:rsidRDefault="009D5CA8" w:rsidP="009D5CA8">
            <w:pPr>
              <w:jc w:val="right"/>
              <w:rPr>
                <w:color w:val="000000"/>
                <w:sz w:val="22"/>
                <w:szCs w:val="22"/>
              </w:rPr>
            </w:pPr>
            <w:r>
              <w:rPr>
                <w:color w:val="000000"/>
                <w:sz w:val="22"/>
                <w:szCs w:val="22"/>
              </w:rPr>
              <w:t>229.418</w:t>
            </w:r>
          </w:p>
        </w:tc>
        <w:tc>
          <w:tcPr>
            <w:tcW w:w="1834" w:type="dxa"/>
            <w:tcBorders>
              <w:top w:val="nil"/>
              <w:left w:val="nil"/>
              <w:bottom w:val="single" w:sz="8" w:space="0" w:color="auto"/>
              <w:right w:val="single" w:sz="8" w:space="0" w:color="auto"/>
            </w:tcBorders>
            <w:shd w:val="clear" w:color="auto" w:fill="auto"/>
            <w:vAlign w:val="center"/>
          </w:tcPr>
          <w:p w14:paraId="08FEF2EB" w14:textId="3566616E" w:rsidR="009D5CA8" w:rsidRDefault="009D5CA8" w:rsidP="009D5CA8">
            <w:pPr>
              <w:jc w:val="right"/>
              <w:rPr>
                <w:color w:val="000000"/>
                <w:sz w:val="22"/>
                <w:szCs w:val="22"/>
              </w:rPr>
            </w:pPr>
            <w:r>
              <w:rPr>
                <w:color w:val="000000"/>
                <w:sz w:val="22"/>
                <w:szCs w:val="22"/>
              </w:rPr>
              <w:t>30.449</w:t>
            </w:r>
          </w:p>
        </w:tc>
      </w:tr>
      <w:tr w:rsidR="009D5CA8" w:rsidRPr="00E24FB3" w14:paraId="5F270269" w14:textId="77777777" w:rsidTr="00B617B5">
        <w:tc>
          <w:tcPr>
            <w:tcW w:w="5132" w:type="dxa"/>
            <w:tcMar>
              <w:top w:w="0" w:type="dxa"/>
              <w:left w:w="108" w:type="dxa"/>
              <w:bottom w:w="0" w:type="dxa"/>
              <w:right w:w="108" w:type="dxa"/>
            </w:tcMar>
            <w:hideMark/>
          </w:tcPr>
          <w:p w14:paraId="7127037B" w14:textId="77777777" w:rsidR="009D5CA8" w:rsidRPr="00E24FB3" w:rsidRDefault="009D5CA8" w:rsidP="009D5CA8">
            <w:pPr>
              <w:rPr>
                <w:rFonts w:eastAsiaTheme="minorHAnsi"/>
                <w:sz w:val="22"/>
                <w:szCs w:val="22"/>
              </w:rPr>
            </w:pPr>
            <w:r w:rsidRPr="00E24FB3">
              <w:rPr>
                <w:sz w:val="22"/>
                <w:szCs w:val="22"/>
              </w:rPr>
              <w:t>Recoveries</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BD80CC" w14:textId="3017A3AA" w:rsidR="009D5CA8" w:rsidRDefault="009D5CA8" w:rsidP="009D5CA8">
            <w:pPr>
              <w:jc w:val="right"/>
              <w:rPr>
                <w:color w:val="000000"/>
                <w:sz w:val="22"/>
                <w:szCs w:val="22"/>
              </w:rPr>
            </w:pPr>
            <w:r>
              <w:rPr>
                <w:color w:val="000000"/>
                <w:sz w:val="22"/>
                <w:szCs w:val="22"/>
              </w:rPr>
              <w:t>14.240</w:t>
            </w:r>
          </w:p>
        </w:tc>
        <w:tc>
          <w:tcPr>
            <w:tcW w:w="1834" w:type="dxa"/>
            <w:tcBorders>
              <w:top w:val="nil"/>
              <w:left w:val="nil"/>
              <w:bottom w:val="single" w:sz="8" w:space="0" w:color="auto"/>
              <w:right w:val="single" w:sz="8" w:space="0" w:color="auto"/>
            </w:tcBorders>
            <w:shd w:val="clear" w:color="auto" w:fill="auto"/>
            <w:vAlign w:val="center"/>
          </w:tcPr>
          <w:p w14:paraId="0102B003" w14:textId="7A95A945" w:rsidR="009D5CA8" w:rsidRDefault="009D5CA8" w:rsidP="009D5CA8">
            <w:pPr>
              <w:jc w:val="right"/>
              <w:rPr>
                <w:color w:val="000000"/>
                <w:sz w:val="22"/>
                <w:szCs w:val="22"/>
              </w:rPr>
            </w:pPr>
            <w:r>
              <w:rPr>
                <w:color w:val="000000"/>
                <w:sz w:val="22"/>
                <w:szCs w:val="22"/>
              </w:rPr>
              <w:t>1.890</w:t>
            </w:r>
          </w:p>
        </w:tc>
      </w:tr>
      <w:tr w:rsidR="009D5CA8" w:rsidRPr="00E24FB3" w14:paraId="77E6F352" w14:textId="77777777" w:rsidTr="00B617B5">
        <w:tc>
          <w:tcPr>
            <w:tcW w:w="5132" w:type="dxa"/>
            <w:tcMar>
              <w:top w:w="0" w:type="dxa"/>
              <w:left w:w="108" w:type="dxa"/>
              <w:bottom w:w="0" w:type="dxa"/>
              <w:right w:w="108" w:type="dxa"/>
            </w:tcMar>
          </w:tcPr>
          <w:p w14:paraId="769458A2" w14:textId="77777777" w:rsidR="009D5CA8" w:rsidRPr="00E24FB3" w:rsidRDefault="009D5CA8" w:rsidP="009D5CA8">
            <w:pPr>
              <w:rPr>
                <w:sz w:val="22"/>
                <w:szCs w:val="22"/>
              </w:rPr>
            </w:pPr>
            <w:r w:rsidRPr="00E24FB3">
              <w:rPr>
                <w:sz w:val="22"/>
                <w:szCs w:val="22"/>
              </w:rPr>
              <w:t>Charged premium</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193251" w14:textId="3BBD0C18" w:rsidR="009D5CA8" w:rsidRDefault="009D5CA8" w:rsidP="009D5CA8">
            <w:pPr>
              <w:jc w:val="right"/>
              <w:rPr>
                <w:color w:val="000000"/>
                <w:sz w:val="22"/>
                <w:szCs w:val="22"/>
              </w:rPr>
            </w:pPr>
            <w:r>
              <w:rPr>
                <w:color w:val="000000"/>
                <w:sz w:val="22"/>
                <w:szCs w:val="22"/>
              </w:rPr>
              <w:t>1.885.415</w:t>
            </w:r>
          </w:p>
        </w:tc>
        <w:tc>
          <w:tcPr>
            <w:tcW w:w="1834" w:type="dxa"/>
            <w:tcBorders>
              <w:top w:val="nil"/>
              <w:left w:val="nil"/>
              <w:bottom w:val="single" w:sz="8" w:space="0" w:color="auto"/>
              <w:right w:val="single" w:sz="8" w:space="0" w:color="auto"/>
            </w:tcBorders>
            <w:shd w:val="clear" w:color="auto" w:fill="auto"/>
            <w:vAlign w:val="center"/>
          </w:tcPr>
          <w:p w14:paraId="45AC23D1" w14:textId="4B7AD657" w:rsidR="009D5CA8" w:rsidRDefault="009D5CA8" w:rsidP="009D5CA8">
            <w:pPr>
              <w:jc w:val="right"/>
              <w:rPr>
                <w:color w:val="000000"/>
                <w:sz w:val="22"/>
                <w:szCs w:val="22"/>
              </w:rPr>
            </w:pPr>
            <w:r>
              <w:rPr>
                <w:color w:val="000000"/>
                <w:sz w:val="22"/>
                <w:szCs w:val="22"/>
              </w:rPr>
              <w:t>250.238</w:t>
            </w:r>
          </w:p>
        </w:tc>
      </w:tr>
      <w:tr w:rsidR="00180460" w:rsidRPr="00E24FB3" w14:paraId="2AB38306" w14:textId="77777777" w:rsidTr="00665026">
        <w:tc>
          <w:tcPr>
            <w:tcW w:w="5132" w:type="dxa"/>
            <w:tcMar>
              <w:top w:w="0" w:type="dxa"/>
              <w:left w:w="108" w:type="dxa"/>
              <w:bottom w:w="0" w:type="dxa"/>
              <w:right w:w="108" w:type="dxa"/>
            </w:tcMar>
          </w:tcPr>
          <w:p w14:paraId="72118E4B" w14:textId="77777777" w:rsidR="00A01EA6" w:rsidRPr="00E24FB3" w:rsidRDefault="00A01EA6" w:rsidP="00931875">
            <w:pPr>
              <w:rPr>
                <w:sz w:val="22"/>
                <w:szCs w:val="22"/>
              </w:rPr>
            </w:pPr>
            <w:r w:rsidRPr="00E24FB3">
              <w:rPr>
                <w:sz w:val="22"/>
                <w:szCs w:val="22"/>
              </w:rPr>
              <w:t>Administrative costs</w:t>
            </w:r>
          </w:p>
        </w:tc>
        <w:tc>
          <w:tcPr>
            <w:tcW w:w="4102" w:type="dxa"/>
            <w:gridSpan w:val="2"/>
            <w:tcMar>
              <w:top w:w="0" w:type="dxa"/>
              <w:left w:w="108" w:type="dxa"/>
              <w:bottom w:w="0" w:type="dxa"/>
              <w:right w:w="108" w:type="dxa"/>
            </w:tcMar>
          </w:tcPr>
          <w:p w14:paraId="268CB6AE" w14:textId="77777777" w:rsidR="00A01EA6" w:rsidRPr="00E24FB3" w:rsidRDefault="00A01EA6" w:rsidP="00931875">
            <w:pPr>
              <w:outlineLvl w:val="0"/>
              <w:rPr>
                <w:sz w:val="22"/>
                <w:szCs w:val="22"/>
              </w:rPr>
            </w:pPr>
            <w:r w:rsidRPr="00E24FB3">
              <w:rPr>
                <w:sz w:val="22"/>
                <w:szCs w:val="22"/>
              </w:rPr>
              <w:t xml:space="preserve">Application processing fee – charged by </w:t>
            </w:r>
            <w:proofErr w:type="gramStart"/>
            <w:r w:rsidRPr="00E24FB3">
              <w:rPr>
                <w:sz w:val="22"/>
                <w:szCs w:val="22"/>
              </w:rPr>
              <w:t>HBOR;</w:t>
            </w:r>
            <w:proofErr w:type="gramEnd"/>
          </w:p>
          <w:p w14:paraId="7F48E62F" w14:textId="73F74551" w:rsidR="0040170F" w:rsidRPr="00E24FB3" w:rsidRDefault="00A01EA6" w:rsidP="00944EFD">
            <w:pPr>
              <w:rPr>
                <w:sz w:val="22"/>
                <w:szCs w:val="22"/>
              </w:rPr>
            </w:pPr>
            <w:r w:rsidRPr="00E24FB3">
              <w:rPr>
                <w:sz w:val="22"/>
                <w:szCs w:val="22"/>
              </w:rPr>
              <w:t xml:space="preserve">Fees for </w:t>
            </w:r>
            <w:r w:rsidR="001B3F60">
              <w:rPr>
                <w:sz w:val="22"/>
                <w:szCs w:val="22"/>
              </w:rPr>
              <w:t>Credit</w:t>
            </w:r>
            <w:r w:rsidR="001B3F60" w:rsidRPr="00E24FB3">
              <w:rPr>
                <w:sz w:val="22"/>
                <w:szCs w:val="22"/>
              </w:rPr>
              <w:t xml:space="preserve"> </w:t>
            </w:r>
            <w:r w:rsidRPr="00E24FB3">
              <w:rPr>
                <w:sz w:val="22"/>
                <w:szCs w:val="22"/>
              </w:rPr>
              <w:t>report of foreign buyer - charged by rating agency</w:t>
            </w:r>
          </w:p>
        </w:tc>
      </w:tr>
    </w:tbl>
    <w:p w14:paraId="43B65106" w14:textId="699BB917" w:rsidR="00665026" w:rsidRDefault="008D67AB" w:rsidP="008D67AB">
      <w:pPr>
        <w:outlineLvl w:val="0"/>
        <w:rPr>
          <w:i/>
          <w:sz w:val="18"/>
          <w:szCs w:val="18"/>
        </w:rPr>
      </w:pPr>
      <w:r w:rsidRPr="008D67AB">
        <w:rPr>
          <w:rFonts w:eastAsiaTheme="minorHAnsi"/>
          <w:sz w:val="18"/>
          <w:szCs w:val="18"/>
        </w:rPr>
        <w:t>*</w:t>
      </w:r>
      <w:proofErr w:type="gramStart"/>
      <w:r w:rsidRPr="008D67AB">
        <w:rPr>
          <w:i/>
          <w:sz w:val="18"/>
          <w:szCs w:val="18"/>
        </w:rPr>
        <w:t>in</w:t>
      </w:r>
      <w:proofErr w:type="gramEnd"/>
      <w:r w:rsidRPr="008D67AB">
        <w:rPr>
          <w:i/>
          <w:sz w:val="18"/>
          <w:szCs w:val="18"/>
        </w:rPr>
        <w:t xml:space="preserve"> EUR according to the </w:t>
      </w:r>
      <w:r w:rsidR="00640BF9">
        <w:rPr>
          <w:i/>
          <w:sz w:val="18"/>
          <w:szCs w:val="18"/>
        </w:rPr>
        <w:t>middle</w:t>
      </w:r>
      <w:r w:rsidR="00640BF9" w:rsidRPr="008D67AB">
        <w:rPr>
          <w:i/>
          <w:sz w:val="18"/>
          <w:szCs w:val="18"/>
        </w:rPr>
        <w:t xml:space="preserve"> </w:t>
      </w:r>
      <w:r w:rsidRPr="008D67AB">
        <w:rPr>
          <w:i/>
          <w:sz w:val="18"/>
          <w:szCs w:val="18"/>
        </w:rPr>
        <w:t>exchange rate of the Croatian National Bank on 31.12.20</w:t>
      </w:r>
      <w:r w:rsidR="00DC2815">
        <w:rPr>
          <w:i/>
          <w:sz w:val="18"/>
          <w:szCs w:val="18"/>
        </w:rPr>
        <w:t>2</w:t>
      </w:r>
      <w:r w:rsidR="009D5CA8">
        <w:rPr>
          <w:i/>
          <w:sz w:val="18"/>
          <w:szCs w:val="18"/>
        </w:rPr>
        <w:t>2</w:t>
      </w:r>
      <w:r w:rsidRPr="008D67AB">
        <w:rPr>
          <w:i/>
          <w:sz w:val="18"/>
          <w:szCs w:val="18"/>
        </w:rPr>
        <w:t>.</w:t>
      </w:r>
    </w:p>
    <w:p w14:paraId="444F36D6" w14:textId="77777777" w:rsidR="009016DE" w:rsidRDefault="009016DE" w:rsidP="008D67AB">
      <w:pPr>
        <w:outlineLvl w:val="0"/>
        <w:rPr>
          <w:i/>
          <w:sz w:val="18"/>
          <w:szCs w:val="18"/>
        </w:rPr>
      </w:pPr>
    </w:p>
    <w:p w14:paraId="2DF7798C" w14:textId="77777777" w:rsidR="002C05D9" w:rsidRDefault="002C05D9" w:rsidP="008D67AB">
      <w:pPr>
        <w:outlineLvl w:val="0"/>
        <w:rPr>
          <w:i/>
          <w:sz w:val="18"/>
          <w:szCs w:val="18"/>
        </w:rPr>
      </w:pPr>
    </w:p>
    <w:p w14:paraId="09FEC67B" w14:textId="77777777" w:rsidR="002C05D9" w:rsidRDefault="002C05D9" w:rsidP="008D67AB">
      <w:pPr>
        <w:outlineLvl w:val="0"/>
        <w:rPr>
          <w:i/>
          <w:sz w:val="18"/>
          <w:szCs w:val="18"/>
        </w:rPr>
      </w:pPr>
    </w:p>
    <w:tbl>
      <w:tblPr>
        <w:tblW w:w="9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2"/>
        <w:gridCol w:w="2268"/>
        <w:gridCol w:w="1834"/>
      </w:tblGrid>
      <w:tr w:rsidR="00171442" w:rsidRPr="00E24FB3" w14:paraId="1BD8E6BF" w14:textId="77777777" w:rsidTr="00BB6282">
        <w:tc>
          <w:tcPr>
            <w:tcW w:w="5132" w:type="dxa"/>
            <w:tcMar>
              <w:top w:w="0" w:type="dxa"/>
              <w:left w:w="108" w:type="dxa"/>
              <w:bottom w:w="0" w:type="dxa"/>
              <w:right w:w="108" w:type="dxa"/>
            </w:tcMar>
            <w:vAlign w:val="center"/>
          </w:tcPr>
          <w:p w14:paraId="0E110F43" w14:textId="77777777" w:rsidR="00171442" w:rsidRPr="00E24FB3" w:rsidRDefault="00171442" w:rsidP="00171442">
            <w:pPr>
              <w:jc w:val="center"/>
              <w:rPr>
                <w:b/>
                <w:sz w:val="22"/>
                <w:szCs w:val="22"/>
                <w:lang w:eastAsia="zh-CN"/>
              </w:rPr>
            </w:pPr>
            <w:r w:rsidRPr="00E24FB3">
              <w:rPr>
                <w:b/>
                <w:sz w:val="22"/>
                <w:szCs w:val="22"/>
                <w:lang w:eastAsia="zh-CN"/>
              </w:rPr>
              <w:t>SHORT-TERM EXPORT CREDIT INSURANCE FOR EXPORTERS WITH ANNUAL EXPORT TURNOVER UP TO EUR 2 MILLION</w:t>
            </w:r>
          </w:p>
          <w:p w14:paraId="3F83481E" w14:textId="77777777" w:rsidR="00171442" w:rsidRPr="00E24FB3" w:rsidRDefault="00171442" w:rsidP="00171442">
            <w:pPr>
              <w:jc w:val="center"/>
              <w:rPr>
                <w:sz w:val="22"/>
                <w:szCs w:val="22"/>
              </w:rPr>
            </w:pPr>
            <w:r w:rsidRPr="00E24FB3">
              <w:rPr>
                <w:b/>
                <w:bCs/>
                <w:sz w:val="22"/>
                <w:szCs w:val="22"/>
              </w:rPr>
              <w:t>(temporarily non – marketable risks)</w:t>
            </w:r>
          </w:p>
        </w:tc>
        <w:tc>
          <w:tcPr>
            <w:tcW w:w="2268" w:type="dxa"/>
            <w:tcMar>
              <w:top w:w="0" w:type="dxa"/>
              <w:left w:w="108" w:type="dxa"/>
              <w:bottom w:w="0" w:type="dxa"/>
              <w:right w:w="108" w:type="dxa"/>
            </w:tcMar>
            <w:vAlign w:val="center"/>
          </w:tcPr>
          <w:p w14:paraId="2A728B61" w14:textId="77777777" w:rsidR="00171442" w:rsidRPr="00E24FB3" w:rsidRDefault="00171442" w:rsidP="00171442">
            <w:pPr>
              <w:jc w:val="center"/>
              <w:rPr>
                <w:sz w:val="22"/>
                <w:szCs w:val="22"/>
              </w:rPr>
            </w:pPr>
            <w:r w:rsidRPr="00E24FB3">
              <w:rPr>
                <w:sz w:val="22"/>
                <w:szCs w:val="22"/>
              </w:rPr>
              <w:t xml:space="preserve">  In HRK</w:t>
            </w:r>
          </w:p>
        </w:tc>
        <w:tc>
          <w:tcPr>
            <w:tcW w:w="1834" w:type="dxa"/>
            <w:vAlign w:val="center"/>
          </w:tcPr>
          <w:p w14:paraId="0759D1F9" w14:textId="77777777" w:rsidR="00171442" w:rsidRPr="00E24FB3" w:rsidRDefault="00171442" w:rsidP="00171442">
            <w:pPr>
              <w:jc w:val="center"/>
              <w:rPr>
                <w:rFonts w:eastAsiaTheme="minorHAnsi"/>
                <w:sz w:val="22"/>
                <w:szCs w:val="22"/>
              </w:rPr>
            </w:pPr>
            <w:r w:rsidRPr="00E24FB3">
              <w:rPr>
                <w:rFonts w:eastAsiaTheme="minorHAnsi"/>
                <w:sz w:val="22"/>
                <w:szCs w:val="22"/>
              </w:rPr>
              <w:t xml:space="preserve"> In EUR*</w:t>
            </w:r>
          </w:p>
        </w:tc>
      </w:tr>
      <w:tr w:rsidR="009D5CA8" w:rsidRPr="00E24FB3" w14:paraId="1D51A082" w14:textId="77777777" w:rsidTr="0076517F">
        <w:tc>
          <w:tcPr>
            <w:tcW w:w="5132" w:type="dxa"/>
            <w:tcMar>
              <w:top w:w="0" w:type="dxa"/>
              <w:left w:w="108" w:type="dxa"/>
              <w:bottom w:w="0" w:type="dxa"/>
              <w:right w:w="108" w:type="dxa"/>
            </w:tcMar>
            <w:hideMark/>
          </w:tcPr>
          <w:p w14:paraId="6B18E415" w14:textId="77777777" w:rsidR="009D5CA8" w:rsidRPr="00E24FB3" w:rsidRDefault="009D5CA8" w:rsidP="009D5CA8">
            <w:pPr>
              <w:rPr>
                <w:rFonts w:eastAsiaTheme="minorHAnsi"/>
                <w:sz w:val="22"/>
                <w:szCs w:val="22"/>
              </w:rPr>
            </w:pPr>
            <w:r w:rsidRPr="00E24FB3">
              <w:rPr>
                <w:sz w:val="22"/>
                <w:szCs w:val="22"/>
              </w:rPr>
              <w:t>Insured business</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F2EA66" w14:textId="71E277DE" w:rsidR="009D5CA8" w:rsidRDefault="009D5CA8" w:rsidP="009D5CA8">
            <w:pPr>
              <w:jc w:val="right"/>
              <w:rPr>
                <w:color w:val="000000"/>
                <w:sz w:val="22"/>
                <w:szCs w:val="22"/>
                <w:lang w:val="hr-HR" w:eastAsia="hr-HR"/>
              </w:rPr>
            </w:pPr>
            <w:r>
              <w:rPr>
                <w:color w:val="000000"/>
                <w:sz w:val="22"/>
                <w:szCs w:val="22"/>
              </w:rPr>
              <w:t>4.594.556</w:t>
            </w:r>
          </w:p>
        </w:tc>
        <w:tc>
          <w:tcPr>
            <w:tcW w:w="1834" w:type="dxa"/>
            <w:tcBorders>
              <w:top w:val="nil"/>
              <w:left w:val="nil"/>
              <w:bottom w:val="single" w:sz="8" w:space="0" w:color="auto"/>
              <w:right w:val="single" w:sz="8" w:space="0" w:color="auto"/>
            </w:tcBorders>
            <w:shd w:val="clear" w:color="auto" w:fill="auto"/>
            <w:vAlign w:val="center"/>
          </w:tcPr>
          <w:p w14:paraId="66170CC4" w14:textId="3A942FD9" w:rsidR="009D5CA8" w:rsidRDefault="009D5CA8" w:rsidP="009D5CA8">
            <w:pPr>
              <w:jc w:val="right"/>
              <w:rPr>
                <w:color w:val="000000"/>
                <w:sz w:val="22"/>
                <w:szCs w:val="22"/>
              </w:rPr>
            </w:pPr>
            <w:r>
              <w:rPr>
                <w:color w:val="000000"/>
                <w:sz w:val="22"/>
                <w:szCs w:val="22"/>
              </w:rPr>
              <w:t>609.802</w:t>
            </w:r>
          </w:p>
        </w:tc>
      </w:tr>
      <w:tr w:rsidR="009D5CA8" w:rsidRPr="00E24FB3" w14:paraId="07E72123" w14:textId="77777777" w:rsidTr="0076517F">
        <w:tc>
          <w:tcPr>
            <w:tcW w:w="5132" w:type="dxa"/>
            <w:tcMar>
              <w:top w:w="0" w:type="dxa"/>
              <w:left w:w="108" w:type="dxa"/>
              <w:bottom w:w="0" w:type="dxa"/>
              <w:right w:w="108" w:type="dxa"/>
            </w:tcMar>
            <w:hideMark/>
          </w:tcPr>
          <w:p w14:paraId="5F8764E1" w14:textId="77777777" w:rsidR="009D5CA8" w:rsidRPr="00E24FB3" w:rsidRDefault="009D5CA8" w:rsidP="009D5CA8">
            <w:pPr>
              <w:rPr>
                <w:rFonts w:eastAsiaTheme="minorHAnsi"/>
                <w:sz w:val="22"/>
                <w:szCs w:val="22"/>
              </w:rPr>
            </w:pPr>
            <w:r w:rsidRPr="00E24FB3">
              <w:rPr>
                <w:sz w:val="22"/>
                <w:szCs w:val="22"/>
              </w:rPr>
              <w:t xml:space="preserve">Insured turnover </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35FAC8" w14:textId="2BB8CFA2" w:rsidR="009D5CA8" w:rsidRDefault="009D5CA8" w:rsidP="009D5CA8">
            <w:pPr>
              <w:jc w:val="right"/>
              <w:rPr>
                <w:color w:val="000000"/>
                <w:sz w:val="22"/>
                <w:szCs w:val="22"/>
              </w:rPr>
            </w:pPr>
            <w:r>
              <w:rPr>
                <w:color w:val="000000"/>
                <w:sz w:val="22"/>
                <w:szCs w:val="22"/>
              </w:rPr>
              <w:t>4.594.556</w:t>
            </w:r>
          </w:p>
        </w:tc>
        <w:tc>
          <w:tcPr>
            <w:tcW w:w="1834" w:type="dxa"/>
            <w:tcBorders>
              <w:top w:val="nil"/>
              <w:left w:val="nil"/>
              <w:bottom w:val="single" w:sz="8" w:space="0" w:color="auto"/>
              <w:right w:val="single" w:sz="8" w:space="0" w:color="auto"/>
            </w:tcBorders>
            <w:shd w:val="clear" w:color="auto" w:fill="auto"/>
            <w:vAlign w:val="center"/>
          </w:tcPr>
          <w:p w14:paraId="79E2ABD6" w14:textId="2E887389" w:rsidR="009D5CA8" w:rsidRDefault="009D5CA8" w:rsidP="009D5CA8">
            <w:pPr>
              <w:jc w:val="right"/>
              <w:rPr>
                <w:color w:val="000000"/>
                <w:sz w:val="22"/>
                <w:szCs w:val="22"/>
              </w:rPr>
            </w:pPr>
            <w:r>
              <w:rPr>
                <w:color w:val="000000"/>
                <w:sz w:val="22"/>
                <w:szCs w:val="22"/>
              </w:rPr>
              <w:t>609.802</w:t>
            </w:r>
          </w:p>
        </w:tc>
      </w:tr>
      <w:tr w:rsidR="009D5CA8" w:rsidRPr="00E24FB3" w14:paraId="69731F68" w14:textId="77777777" w:rsidTr="0076517F">
        <w:tc>
          <w:tcPr>
            <w:tcW w:w="5132" w:type="dxa"/>
            <w:tcMar>
              <w:top w:w="0" w:type="dxa"/>
              <w:left w:w="108" w:type="dxa"/>
              <w:bottom w:w="0" w:type="dxa"/>
              <w:right w:w="108" w:type="dxa"/>
            </w:tcMar>
            <w:hideMark/>
          </w:tcPr>
          <w:p w14:paraId="48EF00E0" w14:textId="77777777" w:rsidR="009D5CA8" w:rsidRPr="00E24FB3" w:rsidRDefault="009D5CA8" w:rsidP="009D5CA8">
            <w:pPr>
              <w:rPr>
                <w:rFonts w:eastAsiaTheme="minorHAnsi"/>
                <w:sz w:val="22"/>
                <w:szCs w:val="22"/>
              </w:rPr>
            </w:pPr>
            <w:r w:rsidRPr="00E24FB3">
              <w:rPr>
                <w:sz w:val="22"/>
                <w:szCs w:val="22"/>
              </w:rPr>
              <w:t>Claims paid</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015DF4" w14:textId="7E1B35AF" w:rsidR="009D5CA8" w:rsidRDefault="009D5CA8" w:rsidP="009D5CA8">
            <w:pPr>
              <w:jc w:val="right"/>
              <w:rPr>
                <w:color w:val="000000"/>
                <w:sz w:val="22"/>
                <w:szCs w:val="22"/>
              </w:rPr>
            </w:pPr>
            <w:r>
              <w:rPr>
                <w:color w:val="000000"/>
                <w:sz w:val="22"/>
                <w:szCs w:val="22"/>
              </w:rPr>
              <w:t>0</w:t>
            </w:r>
          </w:p>
        </w:tc>
        <w:tc>
          <w:tcPr>
            <w:tcW w:w="1834" w:type="dxa"/>
            <w:tcBorders>
              <w:top w:val="nil"/>
              <w:left w:val="nil"/>
              <w:bottom w:val="single" w:sz="8" w:space="0" w:color="auto"/>
              <w:right w:val="single" w:sz="8" w:space="0" w:color="auto"/>
            </w:tcBorders>
            <w:shd w:val="clear" w:color="auto" w:fill="auto"/>
            <w:vAlign w:val="center"/>
          </w:tcPr>
          <w:p w14:paraId="137E258C" w14:textId="70102E05" w:rsidR="009D5CA8" w:rsidRDefault="009D5CA8" w:rsidP="009D5CA8">
            <w:pPr>
              <w:jc w:val="right"/>
              <w:rPr>
                <w:color w:val="000000"/>
                <w:sz w:val="22"/>
                <w:szCs w:val="22"/>
              </w:rPr>
            </w:pPr>
            <w:r>
              <w:rPr>
                <w:color w:val="000000"/>
                <w:sz w:val="22"/>
                <w:szCs w:val="22"/>
              </w:rPr>
              <w:t>0</w:t>
            </w:r>
          </w:p>
        </w:tc>
      </w:tr>
      <w:tr w:rsidR="009D5CA8" w:rsidRPr="00E24FB3" w14:paraId="354D60C8" w14:textId="77777777" w:rsidTr="0076517F">
        <w:tc>
          <w:tcPr>
            <w:tcW w:w="5132" w:type="dxa"/>
            <w:tcMar>
              <w:top w:w="0" w:type="dxa"/>
              <w:left w:w="108" w:type="dxa"/>
              <w:bottom w:w="0" w:type="dxa"/>
              <w:right w:w="108" w:type="dxa"/>
            </w:tcMar>
            <w:hideMark/>
          </w:tcPr>
          <w:p w14:paraId="0088D7CA" w14:textId="77777777" w:rsidR="009D5CA8" w:rsidRPr="00E24FB3" w:rsidRDefault="009D5CA8" w:rsidP="009D5CA8">
            <w:pPr>
              <w:rPr>
                <w:rFonts w:eastAsiaTheme="minorHAnsi"/>
                <w:sz w:val="22"/>
                <w:szCs w:val="22"/>
              </w:rPr>
            </w:pPr>
            <w:r w:rsidRPr="00E24FB3">
              <w:rPr>
                <w:sz w:val="22"/>
                <w:szCs w:val="22"/>
              </w:rPr>
              <w:t>Recoveries</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CB0F4A" w14:textId="3767CFE5" w:rsidR="009D5CA8" w:rsidRDefault="009D5CA8" w:rsidP="009D5CA8">
            <w:pPr>
              <w:jc w:val="right"/>
              <w:rPr>
                <w:color w:val="000000"/>
                <w:sz w:val="22"/>
                <w:szCs w:val="22"/>
              </w:rPr>
            </w:pPr>
            <w:r>
              <w:rPr>
                <w:color w:val="000000"/>
                <w:sz w:val="22"/>
                <w:szCs w:val="22"/>
              </w:rPr>
              <w:t>0</w:t>
            </w:r>
          </w:p>
        </w:tc>
        <w:tc>
          <w:tcPr>
            <w:tcW w:w="1834" w:type="dxa"/>
            <w:tcBorders>
              <w:top w:val="nil"/>
              <w:left w:val="nil"/>
              <w:bottom w:val="single" w:sz="8" w:space="0" w:color="auto"/>
              <w:right w:val="single" w:sz="8" w:space="0" w:color="auto"/>
            </w:tcBorders>
            <w:shd w:val="clear" w:color="auto" w:fill="auto"/>
            <w:vAlign w:val="center"/>
          </w:tcPr>
          <w:p w14:paraId="3516587C" w14:textId="110C88E6" w:rsidR="009D5CA8" w:rsidRDefault="009D5CA8" w:rsidP="009D5CA8">
            <w:pPr>
              <w:jc w:val="right"/>
              <w:rPr>
                <w:color w:val="000000"/>
                <w:sz w:val="22"/>
                <w:szCs w:val="22"/>
              </w:rPr>
            </w:pPr>
            <w:r>
              <w:rPr>
                <w:color w:val="000000"/>
                <w:sz w:val="22"/>
                <w:szCs w:val="22"/>
              </w:rPr>
              <w:t>0</w:t>
            </w:r>
          </w:p>
        </w:tc>
      </w:tr>
      <w:tr w:rsidR="009D5CA8" w:rsidRPr="00E24FB3" w14:paraId="42978276" w14:textId="77777777" w:rsidTr="0076517F">
        <w:tc>
          <w:tcPr>
            <w:tcW w:w="5132" w:type="dxa"/>
            <w:tcMar>
              <w:top w:w="0" w:type="dxa"/>
              <w:left w:w="108" w:type="dxa"/>
              <w:bottom w:w="0" w:type="dxa"/>
              <w:right w:w="108" w:type="dxa"/>
            </w:tcMar>
          </w:tcPr>
          <w:p w14:paraId="74869EAD" w14:textId="77777777" w:rsidR="009D5CA8" w:rsidRPr="00E24FB3" w:rsidRDefault="009D5CA8" w:rsidP="009D5CA8">
            <w:pPr>
              <w:rPr>
                <w:sz w:val="22"/>
                <w:szCs w:val="22"/>
              </w:rPr>
            </w:pPr>
            <w:r w:rsidRPr="00E24FB3">
              <w:rPr>
                <w:sz w:val="22"/>
                <w:szCs w:val="22"/>
              </w:rPr>
              <w:t>Charged premium</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823603" w14:textId="1A386465" w:rsidR="009D5CA8" w:rsidRDefault="009D5CA8" w:rsidP="009D5CA8">
            <w:pPr>
              <w:jc w:val="right"/>
              <w:rPr>
                <w:color w:val="000000"/>
                <w:sz w:val="22"/>
                <w:szCs w:val="22"/>
              </w:rPr>
            </w:pPr>
            <w:r>
              <w:rPr>
                <w:color w:val="000000"/>
                <w:sz w:val="22"/>
                <w:szCs w:val="22"/>
              </w:rPr>
              <w:t>54.568</w:t>
            </w:r>
          </w:p>
        </w:tc>
        <w:tc>
          <w:tcPr>
            <w:tcW w:w="1834" w:type="dxa"/>
            <w:tcBorders>
              <w:top w:val="nil"/>
              <w:left w:val="nil"/>
              <w:bottom w:val="single" w:sz="8" w:space="0" w:color="auto"/>
              <w:right w:val="single" w:sz="8" w:space="0" w:color="auto"/>
            </w:tcBorders>
            <w:shd w:val="clear" w:color="auto" w:fill="auto"/>
            <w:vAlign w:val="center"/>
          </w:tcPr>
          <w:p w14:paraId="7D5F0D8B" w14:textId="6C954831" w:rsidR="009D5CA8" w:rsidRDefault="009D5CA8" w:rsidP="009D5CA8">
            <w:pPr>
              <w:jc w:val="right"/>
              <w:rPr>
                <w:color w:val="000000"/>
                <w:sz w:val="22"/>
                <w:szCs w:val="22"/>
              </w:rPr>
            </w:pPr>
            <w:r>
              <w:rPr>
                <w:color w:val="000000"/>
                <w:sz w:val="22"/>
                <w:szCs w:val="22"/>
              </w:rPr>
              <w:t>7.242</w:t>
            </w:r>
          </w:p>
        </w:tc>
      </w:tr>
      <w:tr w:rsidR="009D34E4" w:rsidRPr="00E24FB3" w14:paraId="710021AF" w14:textId="77777777" w:rsidTr="00CF3C85">
        <w:tc>
          <w:tcPr>
            <w:tcW w:w="5132" w:type="dxa"/>
            <w:tcMar>
              <w:top w:w="0" w:type="dxa"/>
              <w:left w:w="108" w:type="dxa"/>
              <w:bottom w:w="0" w:type="dxa"/>
              <w:right w:w="108" w:type="dxa"/>
            </w:tcMar>
          </w:tcPr>
          <w:p w14:paraId="4974B12C" w14:textId="77777777" w:rsidR="009D34E4" w:rsidRPr="00E24FB3" w:rsidRDefault="009D34E4" w:rsidP="009D34E4">
            <w:pPr>
              <w:rPr>
                <w:sz w:val="22"/>
                <w:szCs w:val="22"/>
              </w:rPr>
            </w:pPr>
            <w:r w:rsidRPr="00E24FB3">
              <w:rPr>
                <w:sz w:val="22"/>
                <w:szCs w:val="22"/>
              </w:rPr>
              <w:t>Administrative costs</w:t>
            </w:r>
          </w:p>
        </w:tc>
        <w:tc>
          <w:tcPr>
            <w:tcW w:w="4102" w:type="dxa"/>
            <w:gridSpan w:val="2"/>
            <w:tcMar>
              <w:top w:w="0" w:type="dxa"/>
              <w:left w:w="108" w:type="dxa"/>
              <w:bottom w:w="0" w:type="dxa"/>
              <w:right w:w="108" w:type="dxa"/>
            </w:tcMar>
          </w:tcPr>
          <w:p w14:paraId="1CBDC9B1" w14:textId="77777777" w:rsidR="009D34E4" w:rsidRPr="00E24FB3" w:rsidRDefault="009D34E4" w:rsidP="009D34E4">
            <w:pPr>
              <w:jc w:val="left"/>
              <w:outlineLvl w:val="0"/>
              <w:rPr>
                <w:sz w:val="22"/>
                <w:szCs w:val="22"/>
              </w:rPr>
            </w:pPr>
            <w:r w:rsidRPr="00E24FB3">
              <w:rPr>
                <w:sz w:val="22"/>
                <w:szCs w:val="22"/>
              </w:rPr>
              <w:t xml:space="preserve">Application processing fee – charged by </w:t>
            </w:r>
            <w:proofErr w:type="gramStart"/>
            <w:r w:rsidRPr="00E24FB3">
              <w:rPr>
                <w:sz w:val="22"/>
                <w:szCs w:val="22"/>
              </w:rPr>
              <w:t>HBOR;</w:t>
            </w:r>
            <w:proofErr w:type="gramEnd"/>
          </w:p>
          <w:p w14:paraId="37EF4393" w14:textId="2F102581" w:rsidR="009D34E4" w:rsidRPr="00E24FB3" w:rsidRDefault="009D34E4" w:rsidP="009D34E4">
            <w:pPr>
              <w:ind w:right="133"/>
              <w:jc w:val="left"/>
              <w:rPr>
                <w:sz w:val="22"/>
                <w:szCs w:val="22"/>
              </w:rPr>
            </w:pPr>
            <w:r w:rsidRPr="00E24FB3">
              <w:rPr>
                <w:sz w:val="22"/>
                <w:szCs w:val="22"/>
              </w:rPr>
              <w:t xml:space="preserve">Fees for </w:t>
            </w:r>
            <w:r w:rsidR="001B3F60">
              <w:rPr>
                <w:sz w:val="22"/>
                <w:szCs w:val="22"/>
              </w:rPr>
              <w:t>Credit</w:t>
            </w:r>
            <w:r w:rsidR="001B3F60" w:rsidRPr="00E24FB3">
              <w:rPr>
                <w:sz w:val="22"/>
                <w:szCs w:val="22"/>
              </w:rPr>
              <w:t xml:space="preserve"> </w:t>
            </w:r>
            <w:r w:rsidRPr="00E24FB3">
              <w:rPr>
                <w:sz w:val="22"/>
                <w:szCs w:val="22"/>
              </w:rPr>
              <w:t>report of foreign buyer - charged by rating agency</w:t>
            </w:r>
          </w:p>
        </w:tc>
      </w:tr>
    </w:tbl>
    <w:p w14:paraId="2D193B20" w14:textId="24D32F9A" w:rsidR="00171442" w:rsidRDefault="00171442" w:rsidP="008D67AB">
      <w:pPr>
        <w:outlineLvl w:val="0"/>
        <w:rPr>
          <w:i/>
          <w:sz w:val="18"/>
          <w:szCs w:val="18"/>
        </w:rPr>
      </w:pPr>
      <w:r w:rsidRPr="008D67AB">
        <w:rPr>
          <w:rFonts w:eastAsiaTheme="minorHAnsi"/>
          <w:sz w:val="18"/>
          <w:szCs w:val="18"/>
        </w:rPr>
        <w:t>*</w:t>
      </w:r>
      <w:proofErr w:type="gramStart"/>
      <w:r w:rsidRPr="008D67AB">
        <w:rPr>
          <w:i/>
          <w:sz w:val="18"/>
          <w:szCs w:val="18"/>
        </w:rPr>
        <w:t>in</w:t>
      </w:r>
      <w:proofErr w:type="gramEnd"/>
      <w:r w:rsidRPr="008D67AB">
        <w:rPr>
          <w:i/>
          <w:sz w:val="18"/>
          <w:szCs w:val="18"/>
        </w:rPr>
        <w:t xml:space="preserve"> EUR according to the m</w:t>
      </w:r>
      <w:r w:rsidR="00D14D19">
        <w:rPr>
          <w:i/>
          <w:sz w:val="18"/>
          <w:szCs w:val="18"/>
        </w:rPr>
        <w:t>iddle</w:t>
      </w:r>
      <w:r w:rsidRPr="008D67AB">
        <w:rPr>
          <w:i/>
          <w:sz w:val="18"/>
          <w:szCs w:val="18"/>
        </w:rPr>
        <w:t xml:space="preserve"> exchange rate of the Croatian National Bank on 31.12.20</w:t>
      </w:r>
      <w:r w:rsidR="00DC2815">
        <w:rPr>
          <w:i/>
          <w:sz w:val="18"/>
          <w:szCs w:val="18"/>
        </w:rPr>
        <w:t>2</w:t>
      </w:r>
      <w:r w:rsidR="009D5CA8">
        <w:rPr>
          <w:i/>
          <w:sz w:val="18"/>
          <w:szCs w:val="18"/>
        </w:rPr>
        <w:t>2</w:t>
      </w:r>
      <w:r w:rsidRPr="008D67AB">
        <w:rPr>
          <w:i/>
          <w:sz w:val="18"/>
          <w:szCs w:val="18"/>
        </w:rPr>
        <w:t>.</w:t>
      </w:r>
    </w:p>
    <w:p w14:paraId="3BFDFA8A" w14:textId="77777777" w:rsidR="00171442" w:rsidRDefault="00171442" w:rsidP="008D67AB">
      <w:pPr>
        <w:outlineLvl w:val="0"/>
        <w:rPr>
          <w:i/>
          <w:sz w:val="18"/>
          <w:szCs w:val="18"/>
        </w:rPr>
      </w:pPr>
    </w:p>
    <w:p w14:paraId="120C5B24" w14:textId="62093C0F" w:rsidR="002C05D9" w:rsidRDefault="002C05D9" w:rsidP="008D67AB">
      <w:pPr>
        <w:outlineLvl w:val="0"/>
        <w:rPr>
          <w:i/>
          <w:sz w:val="18"/>
          <w:szCs w:val="18"/>
        </w:rPr>
      </w:pPr>
    </w:p>
    <w:p w14:paraId="1751EC1C" w14:textId="77777777" w:rsidR="00AB4450" w:rsidRDefault="00AB4450" w:rsidP="008D67AB">
      <w:pPr>
        <w:outlineLvl w:val="0"/>
        <w:rPr>
          <w:i/>
          <w:sz w:val="18"/>
          <w:szCs w:val="18"/>
        </w:rPr>
      </w:pPr>
    </w:p>
    <w:tbl>
      <w:tblPr>
        <w:tblW w:w="9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2"/>
        <w:gridCol w:w="2268"/>
        <w:gridCol w:w="1834"/>
      </w:tblGrid>
      <w:tr w:rsidR="00171442" w:rsidRPr="00E24FB3" w14:paraId="140DE24C" w14:textId="77777777" w:rsidTr="00BB6282">
        <w:tc>
          <w:tcPr>
            <w:tcW w:w="5132" w:type="dxa"/>
            <w:tcMar>
              <w:top w:w="0" w:type="dxa"/>
              <w:left w:w="108" w:type="dxa"/>
              <w:bottom w:w="0" w:type="dxa"/>
              <w:right w:w="108" w:type="dxa"/>
            </w:tcMar>
            <w:vAlign w:val="center"/>
          </w:tcPr>
          <w:p w14:paraId="7F1133C3" w14:textId="77777777" w:rsidR="00171442" w:rsidRPr="00E24FB3" w:rsidRDefault="00171442" w:rsidP="00BB6282">
            <w:pPr>
              <w:jc w:val="center"/>
              <w:rPr>
                <w:sz w:val="22"/>
                <w:szCs w:val="22"/>
              </w:rPr>
            </w:pPr>
            <w:r w:rsidRPr="00E24FB3">
              <w:rPr>
                <w:b/>
                <w:bCs/>
                <w:sz w:val="22"/>
                <w:szCs w:val="22"/>
              </w:rPr>
              <w:lastRenderedPageBreak/>
              <w:t xml:space="preserve">SHORT – TERM EXPORT CREDIT REINSURANCE                                                 </w:t>
            </w:r>
            <w:proofErr w:type="gramStart"/>
            <w:r w:rsidRPr="00E24FB3">
              <w:rPr>
                <w:b/>
                <w:bCs/>
                <w:sz w:val="22"/>
                <w:szCs w:val="22"/>
              </w:rPr>
              <w:t xml:space="preserve">   (</w:t>
            </w:r>
            <w:proofErr w:type="gramEnd"/>
            <w:r w:rsidRPr="00E24FB3">
              <w:rPr>
                <w:b/>
                <w:bCs/>
                <w:sz w:val="22"/>
                <w:szCs w:val="22"/>
              </w:rPr>
              <w:t>temporarily non – marketable risks)</w:t>
            </w:r>
          </w:p>
        </w:tc>
        <w:tc>
          <w:tcPr>
            <w:tcW w:w="2268" w:type="dxa"/>
            <w:tcMar>
              <w:top w:w="0" w:type="dxa"/>
              <w:left w:w="108" w:type="dxa"/>
              <w:bottom w:w="0" w:type="dxa"/>
              <w:right w:w="108" w:type="dxa"/>
            </w:tcMar>
            <w:vAlign w:val="center"/>
          </w:tcPr>
          <w:p w14:paraId="51FBCF2D" w14:textId="77777777" w:rsidR="00171442" w:rsidRPr="00E24FB3" w:rsidRDefault="00171442" w:rsidP="00BB6282">
            <w:pPr>
              <w:jc w:val="center"/>
              <w:rPr>
                <w:sz w:val="22"/>
                <w:szCs w:val="22"/>
              </w:rPr>
            </w:pPr>
            <w:r w:rsidRPr="00E24FB3">
              <w:rPr>
                <w:sz w:val="22"/>
                <w:szCs w:val="22"/>
              </w:rPr>
              <w:t xml:space="preserve">  </w:t>
            </w:r>
            <w:r w:rsidR="00B27381" w:rsidRPr="00E24FB3">
              <w:rPr>
                <w:sz w:val="22"/>
                <w:szCs w:val="22"/>
              </w:rPr>
              <w:t xml:space="preserve">In </w:t>
            </w:r>
            <w:r w:rsidRPr="00E24FB3">
              <w:rPr>
                <w:sz w:val="22"/>
                <w:szCs w:val="22"/>
              </w:rPr>
              <w:t>HRK</w:t>
            </w:r>
          </w:p>
        </w:tc>
        <w:tc>
          <w:tcPr>
            <w:tcW w:w="1834" w:type="dxa"/>
            <w:vAlign w:val="center"/>
          </w:tcPr>
          <w:p w14:paraId="4447DD9E" w14:textId="77777777" w:rsidR="00171442" w:rsidRPr="00E24FB3" w:rsidRDefault="00171442" w:rsidP="00BB6282">
            <w:pPr>
              <w:jc w:val="center"/>
              <w:rPr>
                <w:rFonts w:eastAsiaTheme="minorHAnsi"/>
                <w:sz w:val="22"/>
                <w:szCs w:val="22"/>
              </w:rPr>
            </w:pPr>
            <w:r w:rsidRPr="00E24FB3">
              <w:rPr>
                <w:rFonts w:eastAsiaTheme="minorHAnsi"/>
                <w:sz w:val="22"/>
                <w:szCs w:val="22"/>
              </w:rPr>
              <w:t xml:space="preserve"> In EUR*</w:t>
            </w:r>
          </w:p>
        </w:tc>
      </w:tr>
      <w:tr w:rsidR="00DC2815" w:rsidRPr="00E24FB3" w14:paraId="29F45B2B" w14:textId="77777777" w:rsidTr="00C339DB">
        <w:tc>
          <w:tcPr>
            <w:tcW w:w="5132" w:type="dxa"/>
            <w:tcMar>
              <w:top w:w="0" w:type="dxa"/>
              <w:left w:w="108" w:type="dxa"/>
              <w:bottom w:w="0" w:type="dxa"/>
              <w:right w:w="108" w:type="dxa"/>
            </w:tcMar>
            <w:hideMark/>
          </w:tcPr>
          <w:p w14:paraId="73AF46A9" w14:textId="77777777" w:rsidR="00DC2815" w:rsidRPr="00E24FB3" w:rsidRDefault="00DC2815" w:rsidP="00DC2815">
            <w:pPr>
              <w:rPr>
                <w:rFonts w:eastAsiaTheme="minorHAnsi"/>
                <w:sz w:val="22"/>
                <w:szCs w:val="22"/>
              </w:rPr>
            </w:pPr>
            <w:r w:rsidRPr="00E24FB3">
              <w:rPr>
                <w:sz w:val="22"/>
                <w:szCs w:val="22"/>
              </w:rPr>
              <w:t>Reinsured turnover</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36C56C" w14:textId="173A55A7" w:rsidR="00DC2815" w:rsidRDefault="00DC2815" w:rsidP="00DC2815">
            <w:pPr>
              <w:jc w:val="right"/>
              <w:rPr>
                <w:color w:val="000000"/>
                <w:sz w:val="22"/>
                <w:szCs w:val="22"/>
                <w:lang w:val="hr-HR" w:eastAsia="hr-HR"/>
              </w:rPr>
            </w:pPr>
            <w:r w:rsidRPr="00360E9D">
              <w:rPr>
                <w:color w:val="000000"/>
                <w:sz w:val="22"/>
                <w:szCs w:val="22"/>
              </w:rPr>
              <w:t>-</w:t>
            </w:r>
          </w:p>
        </w:tc>
        <w:tc>
          <w:tcPr>
            <w:tcW w:w="1834" w:type="dxa"/>
            <w:tcBorders>
              <w:top w:val="nil"/>
              <w:left w:val="nil"/>
              <w:bottom w:val="single" w:sz="8" w:space="0" w:color="auto"/>
              <w:right w:val="single" w:sz="8" w:space="0" w:color="auto"/>
            </w:tcBorders>
            <w:shd w:val="clear" w:color="auto" w:fill="auto"/>
          </w:tcPr>
          <w:p w14:paraId="1E4075CF" w14:textId="602D7F5E" w:rsidR="00DC2815" w:rsidRDefault="00DC2815" w:rsidP="00DC2815">
            <w:pPr>
              <w:jc w:val="right"/>
              <w:rPr>
                <w:color w:val="000000"/>
                <w:sz w:val="22"/>
                <w:szCs w:val="22"/>
              </w:rPr>
            </w:pPr>
            <w:r w:rsidRPr="00360E9D">
              <w:rPr>
                <w:color w:val="000000"/>
                <w:sz w:val="22"/>
                <w:szCs w:val="22"/>
              </w:rPr>
              <w:t>-</w:t>
            </w:r>
          </w:p>
        </w:tc>
      </w:tr>
      <w:tr w:rsidR="00DC2815" w:rsidRPr="00E24FB3" w14:paraId="7AE40DE0" w14:textId="77777777" w:rsidTr="00C339DB">
        <w:tc>
          <w:tcPr>
            <w:tcW w:w="5132" w:type="dxa"/>
            <w:tcMar>
              <w:top w:w="0" w:type="dxa"/>
              <w:left w:w="108" w:type="dxa"/>
              <w:bottom w:w="0" w:type="dxa"/>
              <w:right w:w="108" w:type="dxa"/>
            </w:tcMar>
            <w:hideMark/>
          </w:tcPr>
          <w:p w14:paraId="1E5A59B7" w14:textId="77777777" w:rsidR="00DC2815" w:rsidRPr="00E24FB3" w:rsidRDefault="00DC2815" w:rsidP="00DC2815">
            <w:pPr>
              <w:rPr>
                <w:rFonts w:eastAsiaTheme="minorHAnsi"/>
                <w:sz w:val="22"/>
                <w:szCs w:val="22"/>
              </w:rPr>
            </w:pPr>
            <w:r w:rsidRPr="00E24FB3">
              <w:rPr>
                <w:sz w:val="22"/>
                <w:szCs w:val="22"/>
              </w:rPr>
              <w:t>Claims paid</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3073D6" w14:textId="4C497115" w:rsidR="00DC2815" w:rsidRDefault="00DC2815" w:rsidP="00DC2815">
            <w:pPr>
              <w:jc w:val="right"/>
              <w:rPr>
                <w:color w:val="000000"/>
                <w:sz w:val="22"/>
                <w:szCs w:val="22"/>
              </w:rPr>
            </w:pPr>
            <w:r w:rsidRPr="00360E9D">
              <w:rPr>
                <w:color w:val="000000"/>
                <w:sz w:val="22"/>
                <w:szCs w:val="22"/>
              </w:rPr>
              <w:t>-</w:t>
            </w:r>
          </w:p>
        </w:tc>
        <w:tc>
          <w:tcPr>
            <w:tcW w:w="1834" w:type="dxa"/>
            <w:tcBorders>
              <w:top w:val="nil"/>
              <w:left w:val="nil"/>
              <w:bottom w:val="single" w:sz="8" w:space="0" w:color="auto"/>
              <w:right w:val="single" w:sz="8" w:space="0" w:color="auto"/>
            </w:tcBorders>
            <w:shd w:val="clear" w:color="auto" w:fill="auto"/>
          </w:tcPr>
          <w:p w14:paraId="5CD88E9D" w14:textId="5274FD1A" w:rsidR="00DC2815" w:rsidRDefault="00DC2815" w:rsidP="00DC2815">
            <w:pPr>
              <w:jc w:val="right"/>
              <w:rPr>
                <w:color w:val="000000"/>
                <w:sz w:val="22"/>
                <w:szCs w:val="22"/>
              </w:rPr>
            </w:pPr>
            <w:r w:rsidRPr="00360E9D">
              <w:rPr>
                <w:color w:val="000000"/>
                <w:sz w:val="22"/>
                <w:szCs w:val="22"/>
              </w:rPr>
              <w:t>-</w:t>
            </w:r>
          </w:p>
        </w:tc>
      </w:tr>
      <w:tr w:rsidR="00DC2815" w:rsidRPr="00E24FB3" w14:paraId="59EDABBE" w14:textId="77777777" w:rsidTr="00C339DB">
        <w:tc>
          <w:tcPr>
            <w:tcW w:w="5132" w:type="dxa"/>
            <w:tcMar>
              <w:top w:w="0" w:type="dxa"/>
              <w:left w:w="108" w:type="dxa"/>
              <w:bottom w:w="0" w:type="dxa"/>
              <w:right w:w="108" w:type="dxa"/>
            </w:tcMar>
            <w:hideMark/>
          </w:tcPr>
          <w:p w14:paraId="19F53959" w14:textId="77777777" w:rsidR="00DC2815" w:rsidRPr="00E24FB3" w:rsidRDefault="00DC2815" w:rsidP="00DC2815">
            <w:pPr>
              <w:rPr>
                <w:rFonts w:eastAsiaTheme="minorHAnsi"/>
                <w:sz w:val="22"/>
                <w:szCs w:val="22"/>
              </w:rPr>
            </w:pPr>
            <w:r w:rsidRPr="00E24FB3">
              <w:rPr>
                <w:sz w:val="22"/>
                <w:szCs w:val="22"/>
              </w:rPr>
              <w:t>Recoveries</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A5BF41" w14:textId="3FF5A5B4" w:rsidR="00DC2815" w:rsidRDefault="00DC2815" w:rsidP="00DC2815">
            <w:pPr>
              <w:jc w:val="right"/>
              <w:rPr>
                <w:color w:val="000000"/>
                <w:sz w:val="22"/>
                <w:szCs w:val="22"/>
              </w:rPr>
            </w:pPr>
            <w:r w:rsidRPr="00360E9D">
              <w:rPr>
                <w:color w:val="000000"/>
                <w:sz w:val="22"/>
                <w:szCs w:val="22"/>
              </w:rPr>
              <w:t>-</w:t>
            </w:r>
          </w:p>
        </w:tc>
        <w:tc>
          <w:tcPr>
            <w:tcW w:w="1834" w:type="dxa"/>
            <w:tcBorders>
              <w:top w:val="nil"/>
              <w:left w:val="nil"/>
              <w:bottom w:val="single" w:sz="8" w:space="0" w:color="auto"/>
              <w:right w:val="single" w:sz="8" w:space="0" w:color="auto"/>
            </w:tcBorders>
            <w:shd w:val="clear" w:color="auto" w:fill="auto"/>
          </w:tcPr>
          <w:p w14:paraId="44A71C18" w14:textId="4E445202" w:rsidR="00DC2815" w:rsidRDefault="00DC2815" w:rsidP="00DC2815">
            <w:pPr>
              <w:jc w:val="right"/>
              <w:rPr>
                <w:color w:val="000000"/>
                <w:sz w:val="22"/>
                <w:szCs w:val="22"/>
              </w:rPr>
            </w:pPr>
            <w:r w:rsidRPr="00360E9D">
              <w:rPr>
                <w:color w:val="000000"/>
                <w:sz w:val="22"/>
                <w:szCs w:val="22"/>
              </w:rPr>
              <w:t>-</w:t>
            </w:r>
          </w:p>
        </w:tc>
      </w:tr>
      <w:tr w:rsidR="00DC2815" w:rsidRPr="00E24FB3" w14:paraId="36125B63" w14:textId="77777777" w:rsidTr="00C339DB">
        <w:tc>
          <w:tcPr>
            <w:tcW w:w="5132" w:type="dxa"/>
            <w:tcMar>
              <w:top w:w="0" w:type="dxa"/>
              <w:left w:w="108" w:type="dxa"/>
              <w:bottom w:w="0" w:type="dxa"/>
              <w:right w:w="108" w:type="dxa"/>
            </w:tcMar>
            <w:hideMark/>
          </w:tcPr>
          <w:p w14:paraId="0DE28EDD" w14:textId="77777777" w:rsidR="00DC2815" w:rsidRPr="00E24FB3" w:rsidRDefault="00DC2815" w:rsidP="00DC2815">
            <w:pPr>
              <w:rPr>
                <w:rFonts w:eastAsiaTheme="minorHAnsi"/>
                <w:sz w:val="22"/>
                <w:szCs w:val="22"/>
              </w:rPr>
            </w:pPr>
            <w:r w:rsidRPr="00E24FB3">
              <w:rPr>
                <w:sz w:val="22"/>
                <w:szCs w:val="22"/>
              </w:rPr>
              <w:t>Charged premium</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8F6AE8" w14:textId="0C6161B5" w:rsidR="00DC2815" w:rsidRDefault="00DC2815" w:rsidP="00DC2815">
            <w:pPr>
              <w:jc w:val="right"/>
              <w:rPr>
                <w:color w:val="000000"/>
                <w:sz w:val="22"/>
                <w:szCs w:val="22"/>
              </w:rPr>
            </w:pPr>
            <w:r w:rsidRPr="00360E9D">
              <w:rPr>
                <w:color w:val="000000"/>
                <w:sz w:val="22"/>
                <w:szCs w:val="22"/>
              </w:rPr>
              <w:t>-</w:t>
            </w:r>
          </w:p>
        </w:tc>
        <w:tc>
          <w:tcPr>
            <w:tcW w:w="1834" w:type="dxa"/>
            <w:tcBorders>
              <w:top w:val="nil"/>
              <w:left w:val="nil"/>
              <w:bottom w:val="single" w:sz="8" w:space="0" w:color="auto"/>
              <w:right w:val="single" w:sz="8" w:space="0" w:color="auto"/>
            </w:tcBorders>
            <w:shd w:val="clear" w:color="auto" w:fill="auto"/>
          </w:tcPr>
          <w:p w14:paraId="64053014" w14:textId="742C02D0" w:rsidR="00DC2815" w:rsidRDefault="00DC2815" w:rsidP="00DC2815">
            <w:pPr>
              <w:jc w:val="right"/>
              <w:rPr>
                <w:color w:val="000000"/>
                <w:sz w:val="22"/>
                <w:szCs w:val="22"/>
              </w:rPr>
            </w:pPr>
            <w:r w:rsidRPr="00360E9D">
              <w:rPr>
                <w:color w:val="000000"/>
                <w:sz w:val="22"/>
                <w:szCs w:val="22"/>
              </w:rPr>
              <w:t>-</w:t>
            </w:r>
          </w:p>
        </w:tc>
      </w:tr>
      <w:tr w:rsidR="001876D3" w:rsidRPr="00E24FB3" w14:paraId="2ADC00B9" w14:textId="77777777" w:rsidTr="00BB6282">
        <w:tc>
          <w:tcPr>
            <w:tcW w:w="5132" w:type="dxa"/>
            <w:tcMar>
              <w:top w:w="0" w:type="dxa"/>
              <w:left w:w="108" w:type="dxa"/>
              <w:bottom w:w="0" w:type="dxa"/>
              <w:right w:w="108" w:type="dxa"/>
            </w:tcMar>
          </w:tcPr>
          <w:p w14:paraId="7948C2EC" w14:textId="77777777" w:rsidR="001876D3" w:rsidRPr="00E24FB3" w:rsidRDefault="001876D3" w:rsidP="00BB6282">
            <w:pPr>
              <w:rPr>
                <w:sz w:val="22"/>
                <w:szCs w:val="22"/>
              </w:rPr>
            </w:pPr>
            <w:r w:rsidRPr="00E24FB3">
              <w:rPr>
                <w:sz w:val="22"/>
                <w:szCs w:val="22"/>
              </w:rPr>
              <w:t>Administrative costs</w:t>
            </w:r>
          </w:p>
        </w:tc>
        <w:tc>
          <w:tcPr>
            <w:tcW w:w="4102" w:type="dxa"/>
            <w:gridSpan w:val="2"/>
            <w:tcMar>
              <w:top w:w="0" w:type="dxa"/>
              <w:left w:w="108" w:type="dxa"/>
              <w:bottom w:w="0" w:type="dxa"/>
              <w:right w:w="108" w:type="dxa"/>
            </w:tcMar>
          </w:tcPr>
          <w:p w14:paraId="57A332AD" w14:textId="73E1B5B7" w:rsidR="001876D3" w:rsidRPr="00E24FB3" w:rsidRDefault="00B44C2C" w:rsidP="0095456C">
            <w:pPr>
              <w:ind w:right="133"/>
              <w:jc w:val="right"/>
              <w:rPr>
                <w:sz w:val="22"/>
                <w:szCs w:val="22"/>
              </w:rPr>
            </w:pPr>
            <w:r>
              <w:rPr>
                <w:sz w:val="22"/>
                <w:szCs w:val="22"/>
              </w:rPr>
              <w:t>-</w:t>
            </w:r>
          </w:p>
        </w:tc>
      </w:tr>
    </w:tbl>
    <w:p w14:paraId="551485EF" w14:textId="30A113ED" w:rsidR="00171442" w:rsidRDefault="001976F3" w:rsidP="008D67AB">
      <w:pPr>
        <w:outlineLvl w:val="0"/>
        <w:rPr>
          <w:i/>
          <w:sz w:val="18"/>
          <w:szCs w:val="18"/>
        </w:rPr>
      </w:pPr>
      <w:r w:rsidRPr="008D67AB">
        <w:rPr>
          <w:rFonts w:eastAsiaTheme="minorHAnsi"/>
          <w:sz w:val="18"/>
          <w:szCs w:val="18"/>
        </w:rPr>
        <w:t>*</w:t>
      </w:r>
      <w:proofErr w:type="gramStart"/>
      <w:r w:rsidRPr="008D67AB">
        <w:rPr>
          <w:i/>
          <w:sz w:val="18"/>
          <w:szCs w:val="18"/>
        </w:rPr>
        <w:t>in</w:t>
      </w:r>
      <w:proofErr w:type="gramEnd"/>
      <w:r w:rsidRPr="008D67AB">
        <w:rPr>
          <w:i/>
          <w:sz w:val="18"/>
          <w:szCs w:val="18"/>
        </w:rPr>
        <w:t xml:space="preserve"> EUR according to the m</w:t>
      </w:r>
      <w:r w:rsidR="004C18D6">
        <w:rPr>
          <w:i/>
          <w:sz w:val="18"/>
          <w:szCs w:val="18"/>
        </w:rPr>
        <w:t>iddle</w:t>
      </w:r>
      <w:r w:rsidRPr="008D67AB">
        <w:rPr>
          <w:i/>
          <w:sz w:val="18"/>
          <w:szCs w:val="18"/>
        </w:rPr>
        <w:t xml:space="preserve"> exchange rate of the Croatian National Bank on 31.12.20</w:t>
      </w:r>
      <w:r w:rsidR="00DC2815">
        <w:rPr>
          <w:i/>
          <w:sz w:val="18"/>
          <w:szCs w:val="18"/>
        </w:rPr>
        <w:t>2</w:t>
      </w:r>
      <w:r w:rsidR="009D5CA8">
        <w:rPr>
          <w:i/>
          <w:sz w:val="18"/>
          <w:szCs w:val="18"/>
        </w:rPr>
        <w:t>2</w:t>
      </w:r>
      <w:r w:rsidRPr="008D67AB">
        <w:rPr>
          <w:i/>
          <w:sz w:val="18"/>
          <w:szCs w:val="18"/>
        </w:rPr>
        <w:t>.</w:t>
      </w:r>
    </w:p>
    <w:p w14:paraId="0F62FBAB" w14:textId="77777777" w:rsidR="00255EB3" w:rsidRDefault="00255EB3" w:rsidP="008D67AB">
      <w:pPr>
        <w:outlineLvl w:val="0"/>
        <w:rPr>
          <w:i/>
          <w:sz w:val="18"/>
          <w:szCs w:val="18"/>
        </w:rPr>
      </w:pPr>
    </w:p>
    <w:p w14:paraId="635D7A6E" w14:textId="77777777" w:rsidR="002C05D9" w:rsidRDefault="002C05D9" w:rsidP="008D67AB">
      <w:pPr>
        <w:outlineLvl w:val="0"/>
        <w:rPr>
          <w:i/>
          <w:sz w:val="18"/>
          <w:szCs w:val="18"/>
        </w:rPr>
      </w:pPr>
    </w:p>
    <w:p w14:paraId="142EA75A" w14:textId="77777777" w:rsidR="002C05D9" w:rsidRDefault="002C05D9" w:rsidP="008D67AB">
      <w:pPr>
        <w:outlineLvl w:val="0"/>
        <w:rPr>
          <w:i/>
          <w:sz w:val="18"/>
          <w:szCs w:val="18"/>
        </w:rPr>
      </w:pPr>
    </w:p>
    <w:tbl>
      <w:tblPr>
        <w:tblW w:w="9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2"/>
        <w:gridCol w:w="2268"/>
        <w:gridCol w:w="1834"/>
      </w:tblGrid>
      <w:tr w:rsidR="00255EB3" w:rsidRPr="00E24FB3" w14:paraId="5049BBD9" w14:textId="77777777" w:rsidTr="00DE4F6B">
        <w:tc>
          <w:tcPr>
            <w:tcW w:w="5132" w:type="dxa"/>
            <w:tcMar>
              <w:top w:w="0" w:type="dxa"/>
              <w:left w:w="108" w:type="dxa"/>
              <w:bottom w:w="0" w:type="dxa"/>
              <w:right w:w="108" w:type="dxa"/>
            </w:tcMar>
            <w:vAlign w:val="center"/>
          </w:tcPr>
          <w:p w14:paraId="5CD6F5EB" w14:textId="77777777" w:rsidR="00255EB3" w:rsidRPr="00E24FB3" w:rsidRDefault="00255EB3" w:rsidP="00DE4F6B">
            <w:pPr>
              <w:jc w:val="center"/>
              <w:rPr>
                <w:sz w:val="22"/>
                <w:szCs w:val="22"/>
              </w:rPr>
            </w:pPr>
            <w:r w:rsidRPr="00255EB3">
              <w:rPr>
                <w:b/>
                <w:bCs/>
                <w:sz w:val="22"/>
                <w:szCs w:val="22"/>
              </w:rPr>
              <w:t xml:space="preserve">INSURANCE OF DIRECT DELIVERIES OF GOODS AND SERVICES                                                 </w:t>
            </w:r>
            <w:proofErr w:type="gramStart"/>
            <w:r w:rsidRPr="00255EB3">
              <w:rPr>
                <w:b/>
                <w:bCs/>
                <w:sz w:val="22"/>
                <w:szCs w:val="22"/>
              </w:rPr>
              <w:t xml:space="preserve">   (</w:t>
            </w:r>
            <w:proofErr w:type="gramEnd"/>
            <w:r w:rsidRPr="00255EB3">
              <w:rPr>
                <w:b/>
                <w:bCs/>
                <w:sz w:val="22"/>
                <w:szCs w:val="22"/>
              </w:rPr>
              <w:t>temporarily non – marketable risks)</w:t>
            </w:r>
          </w:p>
        </w:tc>
        <w:tc>
          <w:tcPr>
            <w:tcW w:w="2268" w:type="dxa"/>
            <w:tcMar>
              <w:top w:w="0" w:type="dxa"/>
              <w:left w:w="108" w:type="dxa"/>
              <w:bottom w:w="0" w:type="dxa"/>
              <w:right w:w="108" w:type="dxa"/>
            </w:tcMar>
            <w:vAlign w:val="center"/>
          </w:tcPr>
          <w:p w14:paraId="3DA52A7D" w14:textId="77777777" w:rsidR="00255EB3" w:rsidRPr="00E24FB3" w:rsidRDefault="00255EB3" w:rsidP="00DE4F6B">
            <w:pPr>
              <w:jc w:val="center"/>
              <w:rPr>
                <w:sz w:val="22"/>
                <w:szCs w:val="22"/>
              </w:rPr>
            </w:pPr>
            <w:r w:rsidRPr="00E24FB3">
              <w:rPr>
                <w:sz w:val="22"/>
                <w:szCs w:val="22"/>
              </w:rPr>
              <w:t xml:space="preserve">  In HRK</w:t>
            </w:r>
          </w:p>
        </w:tc>
        <w:tc>
          <w:tcPr>
            <w:tcW w:w="1834" w:type="dxa"/>
            <w:vAlign w:val="center"/>
          </w:tcPr>
          <w:p w14:paraId="045BC964" w14:textId="77777777" w:rsidR="00255EB3" w:rsidRPr="00E24FB3" w:rsidRDefault="00255EB3" w:rsidP="00DE4F6B">
            <w:pPr>
              <w:jc w:val="center"/>
              <w:rPr>
                <w:rFonts w:eastAsiaTheme="minorHAnsi"/>
                <w:sz w:val="22"/>
                <w:szCs w:val="22"/>
              </w:rPr>
            </w:pPr>
            <w:r w:rsidRPr="00E24FB3">
              <w:rPr>
                <w:rFonts w:eastAsiaTheme="minorHAnsi"/>
                <w:sz w:val="22"/>
                <w:szCs w:val="22"/>
              </w:rPr>
              <w:t xml:space="preserve"> In EUR*</w:t>
            </w:r>
          </w:p>
        </w:tc>
      </w:tr>
      <w:tr w:rsidR="009D5CA8" w:rsidRPr="00E24FB3" w14:paraId="140EE191" w14:textId="77777777" w:rsidTr="004F2E06">
        <w:tc>
          <w:tcPr>
            <w:tcW w:w="51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7B8485A" w14:textId="77777777" w:rsidR="009D5CA8" w:rsidRPr="00E24FB3" w:rsidRDefault="009D5CA8" w:rsidP="009D5CA8">
            <w:pPr>
              <w:rPr>
                <w:rFonts w:eastAsiaTheme="minorHAnsi"/>
                <w:sz w:val="22"/>
                <w:szCs w:val="22"/>
              </w:rPr>
            </w:pPr>
            <w:r>
              <w:rPr>
                <w:color w:val="000000"/>
                <w:sz w:val="22"/>
                <w:szCs w:val="22"/>
              </w:rPr>
              <w:t>Insured business</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BC7A57" w14:textId="5DD99C9F" w:rsidR="009D5CA8" w:rsidRDefault="009D5CA8" w:rsidP="009D5CA8">
            <w:pPr>
              <w:jc w:val="right"/>
              <w:rPr>
                <w:color w:val="000000"/>
                <w:sz w:val="22"/>
                <w:szCs w:val="22"/>
                <w:lang w:val="hr-HR" w:eastAsia="hr-HR"/>
              </w:rPr>
            </w:pPr>
            <w:r>
              <w:rPr>
                <w:color w:val="000000"/>
                <w:sz w:val="22"/>
                <w:szCs w:val="22"/>
              </w:rPr>
              <w:t>103.845.017</w:t>
            </w:r>
          </w:p>
        </w:tc>
        <w:tc>
          <w:tcPr>
            <w:tcW w:w="1834" w:type="dxa"/>
            <w:tcBorders>
              <w:top w:val="nil"/>
              <w:left w:val="nil"/>
              <w:bottom w:val="single" w:sz="8" w:space="0" w:color="auto"/>
              <w:right w:val="single" w:sz="8" w:space="0" w:color="auto"/>
            </w:tcBorders>
            <w:shd w:val="clear" w:color="auto" w:fill="auto"/>
            <w:vAlign w:val="center"/>
          </w:tcPr>
          <w:p w14:paraId="60AE26AF" w14:textId="27963ED0" w:rsidR="009D5CA8" w:rsidRDefault="009D5CA8" w:rsidP="009D5CA8">
            <w:pPr>
              <w:jc w:val="right"/>
              <w:rPr>
                <w:color w:val="000000"/>
                <w:sz w:val="22"/>
                <w:szCs w:val="22"/>
              </w:rPr>
            </w:pPr>
            <w:r>
              <w:rPr>
                <w:color w:val="000000"/>
                <w:sz w:val="22"/>
                <w:szCs w:val="22"/>
              </w:rPr>
              <w:t>13.782.602</w:t>
            </w:r>
          </w:p>
        </w:tc>
      </w:tr>
      <w:tr w:rsidR="009D5CA8" w:rsidRPr="00E24FB3" w14:paraId="5CADAAF9" w14:textId="77777777" w:rsidTr="004F2E06">
        <w:tc>
          <w:tcPr>
            <w:tcW w:w="51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F030EC" w14:textId="77777777" w:rsidR="009D5CA8" w:rsidRPr="00E24FB3" w:rsidRDefault="009D5CA8" w:rsidP="009D5CA8">
            <w:pPr>
              <w:rPr>
                <w:sz w:val="22"/>
                <w:szCs w:val="22"/>
              </w:rPr>
            </w:pPr>
            <w:r>
              <w:rPr>
                <w:color w:val="000000"/>
                <w:sz w:val="22"/>
                <w:szCs w:val="22"/>
              </w:rPr>
              <w:t xml:space="preserve">Insured turnover </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919EE2" w14:textId="44F6B597" w:rsidR="009D5CA8" w:rsidRDefault="009D5CA8" w:rsidP="009D5CA8">
            <w:pPr>
              <w:jc w:val="right"/>
              <w:rPr>
                <w:color w:val="000000"/>
                <w:sz w:val="22"/>
                <w:szCs w:val="22"/>
              </w:rPr>
            </w:pPr>
            <w:r>
              <w:rPr>
                <w:color w:val="000000"/>
                <w:sz w:val="22"/>
                <w:szCs w:val="22"/>
              </w:rPr>
              <w:t>103.845.017</w:t>
            </w:r>
          </w:p>
        </w:tc>
        <w:tc>
          <w:tcPr>
            <w:tcW w:w="1834" w:type="dxa"/>
            <w:tcBorders>
              <w:top w:val="nil"/>
              <w:left w:val="nil"/>
              <w:bottom w:val="single" w:sz="8" w:space="0" w:color="auto"/>
              <w:right w:val="single" w:sz="8" w:space="0" w:color="auto"/>
            </w:tcBorders>
            <w:shd w:val="clear" w:color="auto" w:fill="auto"/>
            <w:vAlign w:val="center"/>
          </w:tcPr>
          <w:p w14:paraId="23891314" w14:textId="0E2B9C78" w:rsidR="009D5CA8" w:rsidRDefault="009D5CA8" w:rsidP="009D5CA8">
            <w:pPr>
              <w:jc w:val="right"/>
              <w:rPr>
                <w:color w:val="000000"/>
                <w:sz w:val="22"/>
                <w:szCs w:val="22"/>
              </w:rPr>
            </w:pPr>
            <w:r>
              <w:rPr>
                <w:color w:val="000000"/>
                <w:sz w:val="22"/>
                <w:szCs w:val="22"/>
              </w:rPr>
              <w:t>13.782.602</w:t>
            </w:r>
          </w:p>
        </w:tc>
      </w:tr>
      <w:tr w:rsidR="009D5CA8" w:rsidRPr="00E24FB3" w14:paraId="7E2BC3AE" w14:textId="77777777" w:rsidTr="004F2E06">
        <w:tc>
          <w:tcPr>
            <w:tcW w:w="51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8501F4" w14:textId="77777777" w:rsidR="009D5CA8" w:rsidRPr="00E24FB3" w:rsidRDefault="009D5CA8" w:rsidP="009D5CA8">
            <w:pPr>
              <w:rPr>
                <w:rFonts w:eastAsiaTheme="minorHAnsi"/>
                <w:sz w:val="22"/>
                <w:szCs w:val="22"/>
              </w:rPr>
            </w:pPr>
            <w:r>
              <w:rPr>
                <w:color w:val="000000"/>
                <w:sz w:val="22"/>
                <w:szCs w:val="22"/>
              </w:rPr>
              <w:t>Claims paid</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A8ABE8" w14:textId="3CCBCE5B" w:rsidR="009D5CA8" w:rsidRDefault="009D5CA8" w:rsidP="009D5CA8">
            <w:pPr>
              <w:jc w:val="right"/>
              <w:rPr>
                <w:color w:val="000000"/>
                <w:sz w:val="22"/>
                <w:szCs w:val="22"/>
              </w:rPr>
            </w:pPr>
            <w:r>
              <w:rPr>
                <w:color w:val="000000"/>
                <w:sz w:val="22"/>
                <w:szCs w:val="22"/>
              </w:rPr>
              <w:t>-</w:t>
            </w:r>
          </w:p>
        </w:tc>
        <w:tc>
          <w:tcPr>
            <w:tcW w:w="1834" w:type="dxa"/>
            <w:tcBorders>
              <w:top w:val="nil"/>
              <w:left w:val="nil"/>
              <w:bottom w:val="single" w:sz="8" w:space="0" w:color="auto"/>
              <w:right w:val="single" w:sz="8" w:space="0" w:color="auto"/>
            </w:tcBorders>
            <w:shd w:val="clear" w:color="auto" w:fill="auto"/>
            <w:vAlign w:val="center"/>
          </w:tcPr>
          <w:p w14:paraId="5BD7BAF2" w14:textId="43B65CBE" w:rsidR="009D5CA8" w:rsidRDefault="009D5CA8" w:rsidP="009D5CA8">
            <w:pPr>
              <w:jc w:val="right"/>
              <w:rPr>
                <w:color w:val="000000"/>
                <w:sz w:val="22"/>
                <w:szCs w:val="22"/>
              </w:rPr>
            </w:pPr>
            <w:r>
              <w:rPr>
                <w:color w:val="000000"/>
                <w:sz w:val="22"/>
                <w:szCs w:val="22"/>
              </w:rPr>
              <w:t>-</w:t>
            </w:r>
          </w:p>
        </w:tc>
      </w:tr>
      <w:tr w:rsidR="009D5CA8" w:rsidRPr="00E24FB3" w14:paraId="09781A4B" w14:textId="77777777" w:rsidTr="004F2E06">
        <w:tc>
          <w:tcPr>
            <w:tcW w:w="51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FEEE62" w14:textId="77777777" w:rsidR="009D5CA8" w:rsidRPr="00E24FB3" w:rsidRDefault="009D5CA8" w:rsidP="009D5CA8">
            <w:pPr>
              <w:rPr>
                <w:rFonts w:eastAsiaTheme="minorHAnsi"/>
                <w:sz w:val="22"/>
                <w:szCs w:val="22"/>
              </w:rPr>
            </w:pPr>
            <w:r>
              <w:rPr>
                <w:color w:val="000000"/>
                <w:sz w:val="22"/>
                <w:szCs w:val="22"/>
              </w:rPr>
              <w:t>Recoveries</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0C0F54" w14:textId="086ED8E1" w:rsidR="009D5CA8" w:rsidRDefault="009D5CA8" w:rsidP="009D5CA8">
            <w:pPr>
              <w:jc w:val="right"/>
              <w:rPr>
                <w:color w:val="000000"/>
                <w:sz w:val="22"/>
                <w:szCs w:val="22"/>
              </w:rPr>
            </w:pPr>
            <w:r>
              <w:rPr>
                <w:color w:val="000000"/>
                <w:sz w:val="22"/>
                <w:szCs w:val="22"/>
              </w:rPr>
              <w:t>-</w:t>
            </w:r>
          </w:p>
        </w:tc>
        <w:tc>
          <w:tcPr>
            <w:tcW w:w="1834" w:type="dxa"/>
            <w:tcBorders>
              <w:top w:val="nil"/>
              <w:left w:val="nil"/>
              <w:bottom w:val="single" w:sz="8" w:space="0" w:color="auto"/>
              <w:right w:val="single" w:sz="8" w:space="0" w:color="auto"/>
            </w:tcBorders>
            <w:shd w:val="clear" w:color="auto" w:fill="auto"/>
            <w:vAlign w:val="center"/>
          </w:tcPr>
          <w:p w14:paraId="43B4C861" w14:textId="7B48072B" w:rsidR="009D5CA8" w:rsidRDefault="009D5CA8" w:rsidP="009D5CA8">
            <w:pPr>
              <w:jc w:val="right"/>
              <w:rPr>
                <w:color w:val="000000"/>
                <w:sz w:val="22"/>
                <w:szCs w:val="22"/>
              </w:rPr>
            </w:pPr>
            <w:r>
              <w:rPr>
                <w:color w:val="000000"/>
                <w:sz w:val="22"/>
                <w:szCs w:val="22"/>
              </w:rPr>
              <w:t>-</w:t>
            </w:r>
          </w:p>
        </w:tc>
      </w:tr>
      <w:tr w:rsidR="009D5CA8" w:rsidRPr="00E24FB3" w14:paraId="35D52E02" w14:textId="77777777" w:rsidTr="004F2E06">
        <w:tc>
          <w:tcPr>
            <w:tcW w:w="51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9555AF" w14:textId="1E40EBA7" w:rsidR="009D5CA8" w:rsidRPr="00E24FB3" w:rsidRDefault="009D5CA8" w:rsidP="009D5CA8">
            <w:pPr>
              <w:rPr>
                <w:rFonts w:eastAsiaTheme="minorHAnsi"/>
                <w:sz w:val="22"/>
                <w:szCs w:val="22"/>
              </w:rPr>
            </w:pPr>
            <w:r>
              <w:rPr>
                <w:color w:val="000000"/>
                <w:sz w:val="22"/>
                <w:szCs w:val="22"/>
              </w:rPr>
              <w:t>Charged premium</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04FB61" w14:textId="026262F1" w:rsidR="009D5CA8" w:rsidRDefault="009D5CA8" w:rsidP="009D5CA8">
            <w:pPr>
              <w:jc w:val="right"/>
              <w:rPr>
                <w:color w:val="000000"/>
                <w:sz w:val="22"/>
                <w:szCs w:val="22"/>
              </w:rPr>
            </w:pPr>
            <w:r>
              <w:rPr>
                <w:color w:val="000000"/>
                <w:sz w:val="22"/>
                <w:szCs w:val="22"/>
              </w:rPr>
              <w:t>458.057</w:t>
            </w:r>
          </w:p>
        </w:tc>
        <w:tc>
          <w:tcPr>
            <w:tcW w:w="1834" w:type="dxa"/>
            <w:tcBorders>
              <w:top w:val="nil"/>
              <w:left w:val="nil"/>
              <w:bottom w:val="single" w:sz="8" w:space="0" w:color="auto"/>
              <w:right w:val="single" w:sz="8" w:space="0" w:color="auto"/>
            </w:tcBorders>
            <w:shd w:val="clear" w:color="auto" w:fill="auto"/>
            <w:vAlign w:val="center"/>
          </w:tcPr>
          <w:p w14:paraId="7D2CAC26" w14:textId="5B741130" w:rsidR="009D5CA8" w:rsidRDefault="009D5CA8" w:rsidP="009D5CA8">
            <w:pPr>
              <w:jc w:val="right"/>
              <w:rPr>
                <w:color w:val="000000"/>
                <w:sz w:val="22"/>
                <w:szCs w:val="22"/>
              </w:rPr>
            </w:pPr>
            <w:r>
              <w:rPr>
                <w:color w:val="000000"/>
                <w:sz w:val="22"/>
                <w:szCs w:val="22"/>
              </w:rPr>
              <w:t>60.795</w:t>
            </w:r>
          </w:p>
        </w:tc>
      </w:tr>
      <w:tr w:rsidR="00255EB3" w:rsidRPr="00E24FB3" w14:paraId="4D6DFC88" w14:textId="77777777" w:rsidTr="00DE4F6B">
        <w:tc>
          <w:tcPr>
            <w:tcW w:w="5132" w:type="dxa"/>
            <w:tcMar>
              <w:top w:w="0" w:type="dxa"/>
              <w:left w:w="108" w:type="dxa"/>
              <w:bottom w:w="0" w:type="dxa"/>
              <w:right w:w="108" w:type="dxa"/>
            </w:tcMar>
          </w:tcPr>
          <w:p w14:paraId="4E52D479" w14:textId="77777777" w:rsidR="00255EB3" w:rsidRPr="00E24FB3" w:rsidRDefault="00255EB3" w:rsidP="00DE4F6B">
            <w:pPr>
              <w:rPr>
                <w:sz w:val="22"/>
                <w:szCs w:val="22"/>
              </w:rPr>
            </w:pPr>
            <w:r w:rsidRPr="00E24FB3">
              <w:rPr>
                <w:sz w:val="22"/>
                <w:szCs w:val="22"/>
              </w:rPr>
              <w:t>Administrative costs</w:t>
            </w:r>
          </w:p>
        </w:tc>
        <w:tc>
          <w:tcPr>
            <w:tcW w:w="4102" w:type="dxa"/>
            <w:gridSpan w:val="2"/>
            <w:tcMar>
              <w:top w:w="0" w:type="dxa"/>
              <w:left w:w="108" w:type="dxa"/>
              <w:bottom w:w="0" w:type="dxa"/>
              <w:right w:w="108" w:type="dxa"/>
            </w:tcMar>
          </w:tcPr>
          <w:p w14:paraId="5AAE0650" w14:textId="77777777" w:rsidR="00255EB3" w:rsidRPr="00E24FB3" w:rsidRDefault="00255EB3" w:rsidP="00DE4F6B">
            <w:pPr>
              <w:jc w:val="left"/>
              <w:outlineLvl w:val="0"/>
              <w:rPr>
                <w:sz w:val="22"/>
                <w:szCs w:val="22"/>
              </w:rPr>
            </w:pPr>
            <w:r w:rsidRPr="00E24FB3">
              <w:rPr>
                <w:sz w:val="22"/>
                <w:szCs w:val="22"/>
              </w:rPr>
              <w:t xml:space="preserve">Application processing fee – charged by </w:t>
            </w:r>
            <w:proofErr w:type="gramStart"/>
            <w:r w:rsidRPr="00E24FB3">
              <w:rPr>
                <w:sz w:val="22"/>
                <w:szCs w:val="22"/>
              </w:rPr>
              <w:t>HBOR;</w:t>
            </w:r>
            <w:proofErr w:type="gramEnd"/>
          </w:p>
          <w:p w14:paraId="61351B87" w14:textId="1F49ABD8" w:rsidR="00255EB3" w:rsidRPr="00E24FB3" w:rsidRDefault="00255EB3" w:rsidP="00DE4F6B">
            <w:pPr>
              <w:ind w:right="133"/>
              <w:jc w:val="left"/>
              <w:rPr>
                <w:sz w:val="22"/>
                <w:szCs w:val="22"/>
              </w:rPr>
            </w:pPr>
            <w:r w:rsidRPr="00E24FB3">
              <w:rPr>
                <w:sz w:val="22"/>
                <w:szCs w:val="22"/>
              </w:rPr>
              <w:t xml:space="preserve">Fees for </w:t>
            </w:r>
            <w:r w:rsidR="001B3F60">
              <w:rPr>
                <w:sz w:val="22"/>
                <w:szCs w:val="22"/>
              </w:rPr>
              <w:t>Credit</w:t>
            </w:r>
            <w:r w:rsidR="001B3F60" w:rsidRPr="00E24FB3">
              <w:rPr>
                <w:sz w:val="22"/>
                <w:szCs w:val="22"/>
              </w:rPr>
              <w:t xml:space="preserve"> </w:t>
            </w:r>
            <w:r w:rsidRPr="00E24FB3">
              <w:rPr>
                <w:sz w:val="22"/>
                <w:szCs w:val="22"/>
              </w:rPr>
              <w:t>report of foreign buyer - charged by rating agency</w:t>
            </w:r>
          </w:p>
        </w:tc>
      </w:tr>
    </w:tbl>
    <w:p w14:paraId="0F7DDC3A" w14:textId="1C1F65E5" w:rsidR="00255EB3" w:rsidRDefault="00255EB3" w:rsidP="00255EB3">
      <w:pPr>
        <w:outlineLvl w:val="0"/>
        <w:rPr>
          <w:i/>
          <w:sz w:val="18"/>
          <w:szCs w:val="18"/>
        </w:rPr>
      </w:pPr>
      <w:r w:rsidRPr="008D67AB">
        <w:rPr>
          <w:rFonts w:eastAsiaTheme="minorHAnsi"/>
          <w:sz w:val="18"/>
          <w:szCs w:val="18"/>
        </w:rPr>
        <w:t>*</w:t>
      </w:r>
      <w:proofErr w:type="gramStart"/>
      <w:r w:rsidRPr="008D67AB">
        <w:rPr>
          <w:i/>
          <w:sz w:val="18"/>
          <w:szCs w:val="18"/>
        </w:rPr>
        <w:t>in</w:t>
      </w:r>
      <w:proofErr w:type="gramEnd"/>
      <w:r w:rsidRPr="008D67AB">
        <w:rPr>
          <w:i/>
          <w:sz w:val="18"/>
          <w:szCs w:val="18"/>
        </w:rPr>
        <w:t xml:space="preserve"> EUR according to the m</w:t>
      </w:r>
      <w:r w:rsidR="004C18D6">
        <w:rPr>
          <w:i/>
          <w:sz w:val="18"/>
          <w:szCs w:val="18"/>
        </w:rPr>
        <w:t>iddle</w:t>
      </w:r>
      <w:r w:rsidRPr="008D67AB">
        <w:rPr>
          <w:i/>
          <w:sz w:val="18"/>
          <w:szCs w:val="18"/>
        </w:rPr>
        <w:t xml:space="preserve"> exchange rate of the Croatian National Bank on 31.12.20</w:t>
      </w:r>
      <w:r w:rsidR="00DC2815">
        <w:rPr>
          <w:i/>
          <w:sz w:val="18"/>
          <w:szCs w:val="18"/>
        </w:rPr>
        <w:t>2</w:t>
      </w:r>
      <w:r w:rsidR="009D5CA8">
        <w:rPr>
          <w:i/>
          <w:sz w:val="18"/>
          <w:szCs w:val="18"/>
        </w:rPr>
        <w:t>2</w:t>
      </w:r>
      <w:r w:rsidRPr="008D67AB">
        <w:rPr>
          <w:i/>
          <w:sz w:val="18"/>
          <w:szCs w:val="18"/>
        </w:rPr>
        <w:t>.</w:t>
      </w:r>
    </w:p>
    <w:p w14:paraId="6A766958" w14:textId="77777777" w:rsidR="00B67E5A" w:rsidRPr="00933DC9" w:rsidRDefault="00B67E5A" w:rsidP="008D67AB">
      <w:pPr>
        <w:outlineLvl w:val="0"/>
        <w:rPr>
          <w:i/>
          <w:sz w:val="18"/>
          <w:szCs w:val="18"/>
          <w:highlight w:val="yellow"/>
        </w:rPr>
      </w:pPr>
    </w:p>
    <w:sectPr w:rsidR="00B67E5A" w:rsidRPr="00933DC9" w:rsidSect="00A83145">
      <w:headerReference w:type="default" r:id="rId8"/>
      <w:footerReference w:type="default" r:id="rId9"/>
      <w:pgSz w:w="11906" w:h="16838"/>
      <w:pgMar w:top="709" w:right="1276" w:bottom="425" w:left="1559"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E200" w14:textId="77777777" w:rsidR="002F7B87" w:rsidRDefault="002F7B87" w:rsidP="00A01EA6">
      <w:r>
        <w:separator/>
      </w:r>
    </w:p>
  </w:endnote>
  <w:endnote w:type="continuationSeparator" w:id="0">
    <w:p w14:paraId="71CE4336" w14:textId="77777777" w:rsidR="002F7B87" w:rsidRDefault="002F7B87" w:rsidP="00A0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018F" w14:textId="77777777" w:rsidR="00A06B7E" w:rsidRDefault="0086425A" w:rsidP="00B90BA7">
    <w:pPr>
      <w:pStyle w:val="Footer"/>
      <w:tabs>
        <w:tab w:val="clear" w:pos="9638"/>
        <w:tab w:val="right" w:pos="9072"/>
      </w:tabs>
    </w:pPr>
    <w:r>
      <w:rPr>
        <w:noProof/>
        <w:lang w:val="da-DK"/>
      </w:rPr>
      <w:tab/>
    </w:r>
    <w:r>
      <w:rPr>
        <w:noProof/>
        <w:lang w:val="da-DK"/>
      </w:rPr>
      <w:tab/>
    </w:r>
  </w:p>
  <w:p w14:paraId="2C2E9A73" w14:textId="77777777" w:rsidR="00A06B7E" w:rsidRDefault="00DA5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9FCE" w14:textId="77777777" w:rsidR="002F7B87" w:rsidRDefault="002F7B87" w:rsidP="00A01EA6">
      <w:r>
        <w:separator/>
      </w:r>
    </w:p>
  </w:footnote>
  <w:footnote w:type="continuationSeparator" w:id="0">
    <w:p w14:paraId="0B00E097" w14:textId="77777777" w:rsidR="002F7B87" w:rsidRDefault="002F7B87" w:rsidP="00A01EA6">
      <w:r>
        <w:continuationSeparator/>
      </w:r>
    </w:p>
  </w:footnote>
  <w:footnote w:id="1">
    <w:p w14:paraId="07576B00" w14:textId="2C50923D" w:rsidR="00AE0589" w:rsidRPr="00AE0589" w:rsidRDefault="00AE0589">
      <w:pPr>
        <w:pStyle w:val="FootnoteText"/>
        <w:rPr>
          <w:lang w:val="hr-HR"/>
        </w:rPr>
      </w:pPr>
      <w:r>
        <w:rPr>
          <w:rStyle w:val="FootnoteReference"/>
        </w:rPr>
        <w:footnoteRef/>
      </w:r>
      <w:r w:rsidR="00A05AF1">
        <w:t>T</w:t>
      </w:r>
      <w:r w:rsidRPr="00AE0589">
        <w:t>he maximum insured amount in 202</w:t>
      </w:r>
      <w:r>
        <w:t>0</w:t>
      </w:r>
      <w:r w:rsidRPr="00AE0589">
        <w:t xml:space="preserve"> has been increased from 50,000 to 150,000 euros</w:t>
      </w:r>
      <w:r w:rsidR="00A05AF1">
        <w:t>.</w:t>
      </w:r>
      <w:r w:rsidRPr="00AE058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521C" w14:textId="77777777" w:rsidR="00B90BA7" w:rsidRPr="00B90BA7" w:rsidRDefault="0086425A" w:rsidP="00B90BA7">
    <w:pPr>
      <w:pStyle w:val="Header"/>
      <w:tabs>
        <w:tab w:val="clear" w:pos="9638"/>
        <w:tab w:val="right" w:pos="9072"/>
      </w:tabs>
      <w:rPr>
        <w:lang w:val="fr-BE"/>
      </w:rPr>
    </w:pPr>
    <w:r>
      <w:rPr>
        <w:lang w:val="fr-BE"/>
      </w:rPr>
      <w:tab/>
    </w:r>
    <w:r>
      <w:rPr>
        <w:lang w:val="fr-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141"/>
    <w:multiLevelType w:val="hybridMultilevel"/>
    <w:tmpl w:val="98B603C6"/>
    <w:lvl w:ilvl="0" w:tplc="77EC2862">
      <w:start w:val="500"/>
      <w:numFmt w:val="bullet"/>
      <w:lvlText w:val="-"/>
      <w:lvlJc w:val="left"/>
      <w:pPr>
        <w:ind w:left="720" w:hanging="360"/>
      </w:pPr>
      <w:rPr>
        <w:rFonts w:ascii="Cambria" w:eastAsiaTheme="minorEastAsia" w:hAnsi="Cambria"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5FA23DD"/>
    <w:multiLevelType w:val="hybridMultilevel"/>
    <w:tmpl w:val="FCB0A67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27FF24A0"/>
    <w:multiLevelType w:val="hybridMultilevel"/>
    <w:tmpl w:val="77E2B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934AD5"/>
    <w:multiLevelType w:val="hybridMultilevel"/>
    <w:tmpl w:val="12E095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0983D80"/>
    <w:multiLevelType w:val="hybridMultilevel"/>
    <w:tmpl w:val="09F69B3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F65112"/>
    <w:multiLevelType w:val="hybridMultilevel"/>
    <w:tmpl w:val="2AEE3FC2"/>
    <w:lvl w:ilvl="0" w:tplc="B06C9FF6">
      <w:start w:val="82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7BD2AC2"/>
    <w:multiLevelType w:val="hybridMultilevel"/>
    <w:tmpl w:val="0A20C0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C065646"/>
    <w:multiLevelType w:val="hybridMultilevel"/>
    <w:tmpl w:val="FA68EACA"/>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97081555">
    <w:abstractNumId w:val="7"/>
  </w:num>
  <w:num w:numId="2" w16cid:durableId="889612288">
    <w:abstractNumId w:val="3"/>
  </w:num>
  <w:num w:numId="3" w16cid:durableId="2071078621">
    <w:abstractNumId w:val="4"/>
  </w:num>
  <w:num w:numId="4" w16cid:durableId="1483809736">
    <w:abstractNumId w:val="5"/>
  </w:num>
  <w:num w:numId="5" w16cid:durableId="695468903">
    <w:abstractNumId w:val="2"/>
  </w:num>
  <w:num w:numId="6" w16cid:durableId="128548543">
    <w:abstractNumId w:val="1"/>
  </w:num>
  <w:num w:numId="7" w16cid:durableId="128982180">
    <w:abstractNumId w:val="0"/>
  </w:num>
  <w:num w:numId="8" w16cid:durableId="399064372">
    <w:abstractNumId w:val="0"/>
  </w:num>
  <w:num w:numId="9" w16cid:durableId="914322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AyNjcwsTCzNDA2NzYyUdpeDU4uLM/DyQAsNaAPnMUbwsAAAA"/>
  </w:docVars>
  <w:rsids>
    <w:rsidRoot w:val="00A01EA6"/>
    <w:rsid w:val="000019A5"/>
    <w:rsid w:val="00011F38"/>
    <w:rsid w:val="0002522A"/>
    <w:rsid w:val="00025F4C"/>
    <w:rsid w:val="00027F23"/>
    <w:rsid w:val="00057679"/>
    <w:rsid w:val="00077B91"/>
    <w:rsid w:val="00081862"/>
    <w:rsid w:val="000A3C9B"/>
    <w:rsid w:val="000A5822"/>
    <w:rsid w:val="000A5E2C"/>
    <w:rsid w:val="000C2DA3"/>
    <w:rsid w:val="000C7D16"/>
    <w:rsid w:val="000D77B3"/>
    <w:rsid w:val="000E3DDD"/>
    <w:rsid w:val="000F1C0A"/>
    <w:rsid w:val="000F4664"/>
    <w:rsid w:val="00102DAA"/>
    <w:rsid w:val="001051A8"/>
    <w:rsid w:val="00117C53"/>
    <w:rsid w:val="001520F0"/>
    <w:rsid w:val="00171442"/>
    <w:rsid w:val="00180460"/>
    <w:rsid w:val="001856D7"/>
    <w:rsid w:val="001876D3"/>
    <w:rsid w:val="00190145"/>
    <w:rsid w:val="0019655D"/>
    <w:rsid w:val="001976F3"/>
    <w:rsid w:val="001A160C"/>
    <w:rsid w:val="001B3F60"/>
    <w:rsid w:val="001C1BD5"/>
    <w:rsid w:val="001C2442"/>
    <w:rsid w:val="001C7215"/>
    <w:rsid w:val="001D00AC"/>
    <w:rsid w:val="001E7EDA"/>
    <w:rsid w:val="001F0FC5"/>
    <w:rsid w:val="002210F4"/>
    <w:rsid w:val="002527EC"/>
    <w:rsid w:val="002528F5"/>
    <w:rsid w:val="00253A2D"/>
    <w:rsid w:val="00255956"/>
    <w:rsid w:val="00255EB3"/>
    <w:rsid w:val="00272728"/>
    <w:rsid w:val="00295331"/>
    <w:rsid w:val="002B6A6D"/>
    <w:rsid w:val="002B7BA6"/>
    <w:rsid w:val="002C05D9"/>
    <w:rsid w:val="002C1F16"/>
    <w:rsid w:val="002C7E95"/>
    <w:rsid w:val="002D5A45"/>
    <w:rsid w:val="002F45B7"/>
    <w:rsid w:val="002F49C5"/>
    <w:rsid w:val="002F7038"/>
    <w:rsid w:val="002F7B87"/>
    <w:rsid w:val="003076DD"/>
    <w:rsid w:val="003156D1"/>
    <w:rsid w:val="00324C9E"/>
    <w:rsid w:val="003314F5"/>
    <w:rsid w:val="00344DFA"/>
    <w:rsid w:val="00352BB2"/>
    <w:rsid w:val="0035542A"/>
    <w:rsid w:val="00364AF4"/>
    <w:rsid w:val="003904AC"/>
    <w:rsid w:val="003A5472"/>
    <w:rsid w:val="003A5F30"/>
    <w:rsid w:val="003A5F61"/>
    <w:rsid w:val="003D4CA1"/>
    <w:rsid w:val="003E084F"/>
    <w:rsid w:val="003F35AA"/>
    <w:rsid w:val="0040170F"/>
    <w:rsid w:val="0041790B"/>
    <w:rsid w:val="004227C6"/>
    <w:rsid w:val="00451F2F"/>
    <w:rsid w:val="00456BF6"/>
    <w:rsid w:val="004618FC"/>
    <w:rsid w:val="0046764B"/>
    <w:rsid w:val="0047058C"/>
    <w:rsid w:val="0048513C"/>
    <w:rsid w:val="004955D5"/>
    <w:rsid w:val="004A2EAC"/>
    <w:rsid w:val="004C18D6"/>
    <w:rsid w:val="004C5D57"/>
    <w:rsid w:val="004F3410"/>
    <w:rsid w:val="005207C6"/>
    <w:rsid w:val="005306EE"/>
    <w:rsid w:val="00541228"/>
    <w:rsid w:val="00546985"/>
    <w:rsid w:val="005559F9"/>
    <w:rsid w:val="005B078E"/>
    <w:rsid w:val="005B0FF1"/>
    <w:rsid w:val="005D1713"/>
    <w:rsid w:val="005E3484"/>
    <w:rsid w:val="0060260C"/>
    <w:rsid w:val="00606BB3"/>
    <w:rsid w:val="00621F74"/>
    <w:rsid w:val="00630380"/>
    <w:rsid w:val="006400D3"/>
    <w:rsid w:val="00640BF9"/>
    <w:rsid w:val="00645C63"/>
    <w:rsid w:val="00654491"/>
    <w:rsid w:val="00656BD2"/>
    <w:rsid w:val="00660A66"/>
    <w:rsid w:val="00664D5E"/>
    <w:rsid w:val="00665026"/>
    <w:rsid w:val="006752E3"/>
    <w:rsid w:val="006840FD"/>
    <w:rsid w:val="00684447"/>
    <w:rsid w:val="00692B78"/>
    <w:rsid w:val="006A13AF"/>
    <w:rsid w:val="006A2C01"/>
    <w:rsid w:val="006D2FEB"/>
    <w:rsid w:val="006E612E"/>
    <w:rsid w:val="006F330D"/>
    <w:rsid w:val="006F4974"/>
    <w:rsid w:val="00707CEB"/>
    <w:rsid w:val="00714E5D"/>
    <w:rsid w:val="00727475"/>
    <w:rsid w:val="00741B6E"/>
    <w:rsid w:val="007542C8"/>
    <w:rsid w:val="0076607D"/>
    <w:rsid w:val="007744E5"/>
    <w:rsid w:val="00775964"/>
    <w:rsid w:val="00776DEC"/>
    <w:rsid w:val="00782697"/>
    <w:rsid w:val="00786A21"/>
    <w:rsid w:val="007A7060"/>
    <w:rsid w:val="007C15E6"/>
    <w:rsid w:val="007C2355"/>
    <w:rsid w:val="007C285F"/>
    <w:rsid w:val="007D230F"/>
    <w:rsid w:val="007E4154"/>
    <w:rsid w:val="007F142B"/>
    <w:rsid w:val="008025AD"/>
    <w:rsid w:val="008126F8"/>
    <w:rsid w:val="00826F90"/>
    <w:rsid w:val="00832509"/>
    <w:rsid w:val="00853ACB"/>
    <w:rsid w:val="00860895"/>
    <w:rsid w:val="0086425A"/>
    <w:rsid w:val="008737DC"/>
    <w:rsid w:val="00874218"/>
    <w:rsid w:val="00874ED9"/>
    <w:rsid w:val="00877250"/>
    <w:rsid w:val="0088320B"/>
    <w:rsid w:val="008839BD"/>
    <w:rsid w:val="0088435C"/>
    <w:rsid w:val="00887A36"/>
    <w:rsid w:val="008A251D"/>
    <w:rsid w:val="008C48AA"/>
    <w:rsid w:val="008C539D"/>
    <w:rsid w:val="008C69CA"/>
    <w:rsid w:val="008D67AB"/>
    <w:rsid w:val="009016DE"/>
    <w:rsid w:val="00903A91"/>
    <w:rsid w:val="009178E5"/>
    <w:rsid w:val="009208FF"/>
    <w:rsid w:val="009338C3"/>
    <w:rsid w:val="00933DC9"/>
    <w:rsid w:val="00944EFD"/>
    <w:rsid w:val="009461A1"/>
    <w:rsid w:val="00946F09"/>
    <w:rsid w:val="0095456C"/>
    <w:rsid w:val="00954FB3"/>
    <w:rsid w:val="00964086"/>
    <w:rsid w:val="00966F7C"/>
    <w:rsid w:val="00971571"/>
    <w:rsid w:val="00982063"/>
    <w:rsid w:val="00995093"/>
    <w:rsid w:val="009A394A"/>
    <w:rsid w:val="009C526C"/>
    <w:rsid w:val="009C728F"/>
    <w:rsid w:val="009D34E4"/>
    <w:rsid w:val="009D3641"/>
    <w:rsid w:val="009D5CA8"/>
    <w:rsid w:val="009E759B"/>
    <w:rsid w:val="009F4D0A"/>
    <w:rsid w:val="009F560E"/>
    <w:rsid w:val="00A01EA6"/>
    <w:rsid w:val="00A02C03"/>
    <w:rsid w:val="00A04891"/>
    <w:rsid w:val="00A04FE8"/>
    <w:rsid w:val="00A05AF1"/>
    <w:rsid w:val="00A11C91"/>
    <w:rsid w:val="00A1204B"/>
    <w:rsid w:val="00A22EC3"/>
    <w:rsid w:val="00A44C59"/>
    <w:rsid w:val="00A521E0"/>
    <w:rsid w:val="00A52609"/>
    <w:rsid w:val="00A67C21"/>
    <w:rsid w:val="00A75AD5"/>
    <w:rsid w:val="00A83145"/>
    <w:rsid w:val="00A878CF"/>
    <w:rsid w:val="00A878E3"/>
    <w:rsid w:val="00A90594"/>
    <w:rsid w:val="00AA4A8F"/>
    <w:rsid w:val="00AB1F94"/>
    <w:rsid w:val="00AB4450"/>
    <w:rsid w:val="00AD5E82"/>
    <w:rsid w:val="00AE0589"/>
    <w:rsid w:val="00AE08DD"/>
    <w:rsid w:val="00B032C3"/>
    <w:rsid w:val="00B13BD2"/>
    <w:rsid w:val="00B27381"/>
    <w:rsid w:val="00B44C2C"/>
    <w:rsid w:val="00B54C8A"/>
    <w:rsid w:val="00B61F51"/>
    <w:rsid w:val="00B67E5A"/>
    <w:rsid w:val="00B73AE4"/>
    <w:rsid w:val="00B81FB7"/>
    <w:rsid w:val="00B91B8E"/>
    <w:rsid w:val="00B95D09"/>
    <w:rsid w:val="00B972DD"/>
    <w:rsid w:val="00BB0A3D"/>
    <w:rsid w:val="00BB1B75"/>
    <w:rsid w:val="00BB3D2F"/>
    <w:rsid w:val="00BD76A9"/>
    <w:rsid w:val="00BE0988"/>
    <w:rsid w:val="00C02E8B"/>
    <w:rsid w:val="00C0780A"/>
    <w:rsid w:val="00C1212F"/>
    <w:rsid w:val="00C229FC"/>
    <w:rsid w:val="00C27526"/>
    <w:rsid w:val="00C3220A"/>
    <w:rsid w:val="00C35C91"/>
    <w:rsid w:val="00C457E0"/>
    <w:rsid w:val="00C52706"/>
    <w:rsid w:val="00C65BA8"/>
    <w:rsid w:val="00C73B8B"/>
    <w:rsid w:val="00C82209"/>
    <w:rsid w:val="00C95C16"/>
    <w:rsid w:val="00CB4F3E"/>
    <w:rsid w:val="00CD3580"/>
    <w:rsid w:val="00D03269"/>
    <w:rsid w:val="00D05857"/>
    <w:rsid w:val="00D06E00"/>
    <w:rsid w:val="00D12AB4"/>
    <w:rsid w:val="00D14D19"/>
    <w:rsid w:val="00D379FA"/>
    <w:rsid w:val="00D45EAD"/>
    <w:rsid w:val="00D707C4"/>
    <w:rsid w:val="00DA27D4"/>
    <w:rsid w:val="00DA5FAC"/>
    <w:rsid w:val="00DC2815"/>
    <w:rsid w:val="00DD7734"/>
    <w:rsid w:val="00DE3134"/>
    <w:rsid w:val="00DE4D81"/>
    <w:rsid w:val="00DE5B30"/>
    <w:rsid w:val="00DF1BC7"/>
    <w:rsid w:val="00DF3543"/>
    <w:rsid w:val="00DF43DE"/>
    <w:rsid w:val="00DF4757"/>
    <w:rsid w:val="00E117FD"/>
    <w:rsid w:val="00E24FB3"/>
    <w:rsid w:val="00E26E6D"/>
    <w:rsid w:val="00E27BC8"/>
    <w:rsid w:val="00E435AF"/>
    <w:rsid w:val="00E55D26"/>
    <w:rsid w:val="00E672D7"/>
    <w:rsid w:val="00EC1D48"/>
    <w:rsid w:val="00ED4F35"/>
    <w:rsid w:val="00F05CFD"/>
    <w:rsid w:val="00F07B97"/>
    <w:rsid w:val="00F21B12"/>
    <w:rsid w:val="00F530F7"/>
    <w:rsid w:val="00F55E01"/>
    <w:rsid w:val="00F676BC"/>
    <w:rsid w:val="00F8389F"/>
    <w:rsid w:val="00F8578B"/>
    <w:rsid w:val="00F909C6"/>
    <w:rsid w:val="00FA6374"/>
    <w:rsid w:val="00FB4E77"/>
    <w:rsid w:val="00FC5713"/>
    <w:rsid w:val="00FD0290"/>
    <w:rsid w:val="00FF49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F75D"/>
  <w15:docId w15:val="{45F36BF0-9E1B-45A3-809E-CB4040B3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A6"/>
    <w:pPr>
      <w:jc w:val="both"/>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EA6"/>
    <w:pPr>
      <w:tabs>
        <w:tab w:val="center" w:pos="4819"/>
        <w:tab w:val="right" w:pos="9638"/>
      </w:tabs>
    </w:pPr>
  </w:style>
  <w:style w:type="character" w:customStyle="1" w:styleId="HeaderChar">
    <w:name w:val="Header Char"/>
    <w:basedOn w:val="DefaultParagraphFont"/>
    <w:link w:val="Header"/>
    <w:uiPriority w:val="99"/>
    <w:rsid w:val="00A01EA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01EA6"/>
    <w:pPr>
      <w:tabs>
        <w:tab w:val="center" w:pos="4819"/>
        <w:tab w:val="right" w:pos="9638"/>
      </w:tabs>
    </w:pPr>
  </w:style>
  <w:style w:type="character" w:customStyle="1" w:styleId="FooterChar">
    <w:name w:val="Footer Char"/>
    <w:basedOn w:val="DefaultParagraphFont"/>
    <w:link w:val="Footer"/>
    <w:uiPriority w:val="99"/>
    <w:rsid w:val="00A01EA6"/>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A01EA6"/>
    <w:pPr>
      <w:ind w:left="720"/>
      <w:contextualSpacing/>
    </w:pPr>
  </w:style>
  <w:style w:type="character" w:customStyle="1" w:styleId="hps">
    <w:name w:val="hps"/>
    <w:basedOn w:val="DefaultParagraphFont"/>
    <w:rsid w:val="00A01EA6"/>
  </w:style>
  <w:style w:type="paragraph" w:styleId="BalloonText">
    <w:name w:val="Balloon Text"/>
    <w:basedOn w:val="Normal"/>
    <w:link w:val="BalloonTextChar"/>
    <w:uiPriority w:val="99"/>
    <w:semiHidden/>
    <w:unhideWhenUsed/>
    <w:rsid w:val="005559F9"/>
    <w:rPr>
      <w:rFonts w:ascii="Tahoma" w:hAnsi="Tahoma" w:cs="Tahoma"/>
      <w:sz w:val="16"/>
      <w:szCs w:val="16"/>
    </w:rPr>
  </w:style>
  <w:style w:type="character" w:customStyle="1" w:styleId="BalloonTextChar">
    <w:name w:val="Balloon Text Char"/>
    <w:basedOn w:val="DefaultParagraphFont"/>
    <w:link w:val="BalloonText"/>
    <w:uiPriority w:val="99"/>
    <w:semiHidden/>
    <w:rsid w:val="005559F9"/>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C1212F"/>
    <w:rPr>
      <w:sz w:val="16"/>
      <w:szCs w:val="16"/>
    </w:rPr>
  </w:style>
  <w:style w:type="paragraph" w:styleId="CommentText">
    <w:name w:val="annotation text"/>
    <w:basedOn w:val="Normal"/>
    <w:link w:val="CommentTextChar"/>
    <w:uiPriority w:val="99"/>
    <w:semiHidden/>
    <w:unhideWhenUsed/>
    <w:rsid w:val="00C1212F"/>
    <w:rPr>
      <w:sz w:val="20"/>
      <w:szCs w:val="20"/>
    </w:rPr>
  </w:style>
  <w:style w:type="character" w:customStyle="1" w:styleId="CommentTextChar">
    <w:name w:val="Comment Text Char"/>
    <w:basedOn w:val="DefaultParagraphFont"/>
    <w:link w:val="CommentText"/>
    <w:uiPriority w:val="99"/>
    <w:semiHidden/>
    <w:rsid w:val="00C1212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1212F"/>
    <w:rPr>
      <w:b/>
      <w:bCs/>
    </w:rPr>
  </w:style>
  <w:style w:type="character" w:customStyle="1" w:styleId="CommentSubjectChar">
    <w:name w:val="Comment Subject Char"/>
    <w:basedOn w:val="CommentTextChar"/>
    <w:link w:val="CommentSubject"/>
    <w:uiPriority w:val="99"/>
    <w:semiHidden/>
    <w:rsid w:val="00C1212F"/>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C1212F"/>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D14D19"/>
    <w:rPr>
      <w:sz w:val="20"/>
      <w:szCs w:val="20"/>
    </w:rPr>
  </w:style>
  <w:style w:type="character" w:customStyle="1" w:styleId="FootnoteTextChar">
    <w:name w:val="Footnote Text Char"/>
    <w:basedOn w:val="DefaultParagraphFont"/>
    <w:link w:val="FootnoteText"/>
    <w:uiPriority w:val="99"/>
    <w:semiHidden/>
    <w:rsid w:val="00D14D19"/>
    <w:rPr>
      <w:rFonts w:ascii="Times New Roman" w:eastAsia="Times New Roman" w:hAnsi="Times New Roman" w:cs="Times New Roman"/>
      <w:sz w:val="20"/>
      <w:szCs w:val="20"/>
      <w:lang w:val="en-US" w:eastAsia="en-GB"/>
    </w:rPr>
  </w:style>
  <w:style w:type="character" w:styleId="FootnoteReference">
    <w:name w:val="footnote reference"/>
    <w:basedOn w:val="DefaultParagraphFont"/>
    <w:uiPriority w:val="99"/>
    <w:semiHidden/>
    <w:unhideWhenUsed/>
    <w:rsid w:val="00D14D19"/>
    <w:rPr>
      <w:vertAlign w:val="superscript"/>
    </w:rPr>
  </w:style>
  <w:style w:type="table" w:styleId="TableGridLight">
    <w:name w:val="Grid Table Light"/>
    <w:basedOn w:val="TableNormal"/>
    <w:uiPriority w:val="40"/>
    <w:rsid w:val="00BE0988"/>
    <w:pPr>
      <w:jc w:val="both"/>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34341">
      <w:bodyDiv w:val="1"/>
      <w:marLeft w:val="0"/>
      <w:marRight w:val="0"/>
      <w:marTop w:val="0"/>
      <w:marBottom w:val="0"/>
      <w:divBdr>
        <w:top w:val="none" w:sz="0" w:space="0" w:color="auto"/>
        <w:left w:val="none" w:sz="0" w:space="0" w:color="auto"/>
        <w:bottom w:val="none" w:sz="0" w:space="0" w:color="auto"/>
        <w:right w:val="none" w:sz="0" w:space="0" w:color="auto"/>
      </w:divBdr>
    </w:div>
    <w:div w:id="976490271">
      <w:bodyDiv w:val="1"/>
      <w:marLeft w:val="0"/>
      <w:marRight w:val="0"/>
      <w:marTop w:val="0"/>
      <w:marBottom w:val="0"/>
      <w:divBdr>
        <w:top w:val="none" w:sz="0" w:space="0" w:color="auto"/>
        <w:left w:val="none" w:sz="0" w:space="0" w:color="auto"/>
        <w:bottom w:val="none" w:sz="0" w:space="0" w:color="auto"/>
        <w:right w:val="none" w:sz="0" w:space="0" w:color="auto"/>
      </w:divBdr>
    </w:div>
    <w:div w:id="1478260575">
      <w:bodyDiv w:val="1"/>
      <w:marLeft w:val="0"/>
      <w:marRight w:val="0"/>
      <w:marTop w:val="0"/>
      <w:marBottom w:val="0"/>
      <w:divBdr>
        <w:top w:val="none" w:sz="0" w:space="0" w:color="auto"/>
        <w:left w:val="none" w:sz="0" w:space="0" w:color="auto"/>
        <w:bottom w:val="none" w:sz="0" w:space="0" w:color="auto"/>
        <w:right w:val="none" w:sz="0" w:space="0" w:color="auto"/>
      </w:divBdr>
    </w:div>
    <w:div w:id="1512061625">
      <w:bodyDiv w:val="1"/>
      <w:marLeft w:val="0"/>
      <w:marRight w:val="0"/>
      <w:marTop w:val="0"/>
      <w:marBottom w:val="0"/>
      <w:divBdr>
        <w:top w:val="none" w:sz="0" w:space="0" w:color="auto"/>
        <w:left w:val="none" w:sz="0" w:space="0" w:color="auto"/>
        <w:bottom w:val="none" w:sz="0" w:space="0" w:color="auto"/>
        <w:right w:val="none" w:sz="0" w:space="0" w:color="auto"/>
      </w:divBdr>
    </w:div>
    <w:div w:id="19901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17D0B-9D1B-4EF5-8FEC-CB08F11E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HBOR</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Kupanovac Gabrijela</dc:creator>
  <cp:lastModifiedBy>Župan Luka</cp:lastModifiedBy>
  <cp:revision>5</cp:revision>
  <cp:lastPrinted>2017-07-13T07:49:00Z</cp:lastPrinted>
  <dcterms:created xsi:type="dcterms:W3CDTF">2023-06-14T12:47:00Z</dcterms:created>
  <dcterms:modified xsi:type="dcterms:W3CDTF">2023-07-05T09:43:00Z</dcterms:modified>
</cp:coreProperties>
</file>